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847" w:rsidRPr="00F36BA9" w:rsidRDefault="00FA5847" w:rsidP="00FA5847">
      <w:pPr>
        <w:spacing w:after="120" w:line="276" w:lineRule="auto"/>
        <w:jc w:val="both"/>
        <w:rPr>
          <w:rFonts w:ascii="Times New Roman" w:eastAsia="Times New Roman" w:hAnsi="Times New Roman" w:cs="Times New Roman"/>
          <w:b/>
          <w:i/>
          <w:color w:val="000000"/>
          <w:sz w:val="24"/>
          <w:szCs w:val="24"/>
          <w:u w:val="single"/>
        </w:rPr>
      </w:pPr>
      <w:r w:rsidRPr="00F36BA9">
        <w:rPr>
          <w:rFonts w:ascii="Times New Roman" w:eastAsia="Times New Roman" w:hAnsi="Times New Roman" w:cs="Times New Roman"/>
          <w:b/>
          <w:i/>
          <w:color w:val="000000"/>
          <w:sz w:val="24"/>
          <w:szCs w:val="24"/>
          <w:u w:val="single"/>
        </w:rPr>
        <w:t>Parathënie për Procesin e Vlerësimit të Brendshëm</w:t>
      </w:r>
    </w:p>
    <w:p w:rsidR="00FA5847" w:rsidRPr="00F36BA9" w:rsidRDefault="00FA5847" w:rsidP="00FA5847">
      <w:pPr>
        <w:spacing w:after="120" w:line="276" w:lineRule="auto"/>
        <w:jc w:val="both"/>
        <w:rPr>
          <w:rFonts w:ascii="Times New Roman" w:eastAsia="Times New Roman" w:hAnsi="Times New Roman" w:cs="Times New Roman"/>
          <w:b/>
          <w:color w:val="000000"/>
          <w:sz w:val="24"/>
          <w:szCs w:val="24"/>
          <w:u w:val="single"/>
        </w:rPr>
      </w:pPr>
    </w:p>
    <w:p w:rsidR="00FA5847" w:rsidRPr="00F36BA9" w:rsidRDefault="00FA5847" w:rsidP="00FA5847">
      <w:pPr>
        <w:spacing w:after="120" w:line="276" w:lineRule="auto"/>
        <w:jc w:val="both"/>
        <w:rPr>
          <w:rFonts w:ascii="Times New Roman" w:eastAsia="Calibri" w:hAnsi="Times New Roman" w:cs="Times New Roman"/>
          <w:b/>
          <w:color w:val="000000"/>
          <w:sz w:val="24"/>
          <w:szCs w:val="24"/>
        </w:rPr>
      </w:pPr>
      <w:r w:rsidRPr="00F36BA9">
        <w:rPr>
          <w:rFonts w:ascii="Times New Roman" w:eastAsia="Calibri" w:hAnsi="Times New Roman" w:cs="Times New Roman"/>
          <w:b/>
          <w:color w:val="000000"/>
          <w:sz w:val="24"/>
          <w:szCs w:val="24"/>
        </w:rPr>
        <w:t>PARIMET E PUNËS SË GVB</w:t>
      </w:r>
    </w:p>
    <w:p w:rsidR="00FA5847" w:rsidRPr="00F36BA9" w:rsidRDefault="00FA5847" w:rsidP="00FA5847">
      <w:pPr>
        <w:numPr>
          <w:ilvl w:val="0"/>
          <w:numId w:val="17"/>
        </w:numPr>
        <w:tabs>
          <w:tab w:val="left" w:pos="742"/>
        </w:tabs>
        <w:autoSpaceDE w:val="0"/>
        <w:autoSpaceDN w:val="0"/>
        <w:adjustRightInd w:val="0"/>
        <w:spacing w:after="120" w:line="276" w:lineRule="auto"/>
        <w:ind w:left="742" w:hanging="458"/>
        <w:jc w:val="both"/>
        <w:rPr>
          <w:rFonts w:ascii="Times New Roman" w:eastAsia="Calibri" w:hAnsi="Times New Roman" w:cs="Times New Roman"/>
          <w:color w:val="000000"/>
          <w:sz w:val="24"/>
          <w:szCs w:val="24"/>
        </w:rPr>
      </w:pPr>
      <w:r w:rsidRPr="00F36BA9">
        <w:rPr>
          <w:rFonts w:ascii="Times New Roman" w:eastAsia="Calibri" w:hAnsi="Times New Roman" w:cs="Times New Roman"/>
          <w:color w:val="000000"/>
          <w:sz w:val="24"/>
          <w:szCs w:val="24"/>
        </w:rPr>
        <w:t>Vlerësimi i Cilësisë duhet të karakterizohet nga profesionalizmi, vërtetësia, objektiviteti, paanshmëria, transparenca e plotë dhe përfshirja e të gjithë aktorëve në të gjitha fazat e vlerësimit.</w:t>
      </w:r>
    </w:p>
    <w:p w:rsidR="00FA5847" w:rsidRPr="00F36BA9" w:rsidRDefault="00FA5847" w:rsidP="00FA5847">
      <w:pPr>
        <w:numPr>
          <w:ilvl w:val="0"/>
          <w:numId w:val="17"/>
        </w:numPr>
        <w:tabs>
          <w:tab w:val="left" w:pos="742"/>
        </w:tabs>
        <w:spacing w:after="120" w:line="276" w:lineRule="auto"/>
        <w:ind w:left="742" w:hanging="458"/>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Zhvillimi i Njësisë së Sigurimit të Brendshëm të Cilësisë (NJSBC) në Njësitë e IAL.</w:t>
      </w:r>
    </w:p>
    <w:p w:rsidR="00FA5847" w:rsidRPr="00F36BA9" w:rsidRDefault="00FA5847" w:rsidP="00FA5847">
      <w:pPr>
        <w:numPr>
          <w:ilvl w:val="0"/>
          <w:numId w:val="17"/>
        </w:numPr>
        <w:tabs>
          <w:tab w:val="left" w:pos="742"/>
        </w:tabs>
        <w:spacing w:after="120" w:line="276" w:lineRule="auto"/>
        <w:ind w:left="742" w:hanging="458"/>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Të realizojë Vlerësimin e Brendshëm me synimin që të krijohet një tabllo e qartë dhe transparente e Njësisë nën vlerësim, për të ndërtuar politika zhvillimi në përputhje me misionin e saj dhe të shërbejë si bazë për procesin e mëtejshëm të akreditimit të institucioneve e programeve</w:t>
      </w:r>
    </w:p>
    <w:p w:rsidR="00FA5847" w:rsidRPr="00F36BA9" w:rsidRDefault="00FA5847" w:rsidP="00FA5847">
      <w:pPr>
        <w:numPr>
          <w:ilvl w:val="0"/>
          <w:numId w:val="17"/>
        </w:numPr>
        <w:tabs>
          <w:tab w:val="left" w:pos="742"/>
        </w:tabs>
        <w:spacing w:after="120" w:line="276" w:lineRule="auto"/>
        <w:ind w:left="742" w:hanging="458"/>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Të bëjë publik informacionin me qëllim që të gjithë partnerët dhe publiku i gjerë (studentët, prindërit, stafet akademike dhe ndihmëse, partnerët e tjerë socialë, ekonomikë e politikë) të informohen për gjendjen e njësisë, programeve, kurrikulave, shërbimeve, etj.</w:t>
      </w:r>
    </w:p>
    <w:p w:rsidR="00FA5847" w:rsidRPr="00F36BA9" w:rsidRDefault="00FA5847" w:rsidP="00FA5847">
      <w:pPr>
        <w:numPr>
          <w:ilvl w:val="0"/>
          <w:numId w:val="17"/>
        </w:numPr>
        <w:tabs>
          <w:tab w:val="left" w:pos="742"/>
        </w:tabs>
        <w:spacing w:after="120" w:line="276" w:lineRule="auto"/>
        <w:ind w:left="742" w:hanging="458"/>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Të shërbejë në fund të fundit për kultivimin e Kulturës së Cilësisë në Institucionet e Arsimit të Lartë si pjesë e tyre e brendshme dhe e qëndrueshme.</w:t>
      </w:r>
    </w:p>
    <w:p w:rsidR="00FA5847" w:rsidRPr="00F36BA9" w:rsidRDefault="00FA5847" w:rsidP="00FA5847">
      <w:pPr>
        <w:numPr>
          <w:ilvl w:val="0"/>
          <w:numId w:val="17"/>
        </w:numPr>
        <w:tabs>
          <w:tab w:val="left" w:pos="742"/>
        </w:tabs>
        <w:spacing w:after="120" w:line="276" w:lineRule="auto"/>
        <w:ind w:left="742" w:hanging="458"/>
        <w:jc w:val="both"/>
        <w:rPr>
          <w:rFonts w:ascii="Times New Roman" w:eastAsia="Calibri" w:hAnsi="Times New Roman" w:cs="Times New Roman"/>
          <w:color w:val="000000"/>
          <w:sz w:val="24"/>
          <w:szCs w:val="24"/>
        </w:rPr>
      </w:pPr>
      <w:r w:rsidRPr="00F36BA9">
        <w:rPr>
          <w:rFonts w:ascii="Times New Roman" w:eastAsia="Calibri" w:hAnsi="Times New Roman" w:cs="Times New Roman"/>
          <w:color w:val="000000"/>
          <w:sz w:val="24"/>
          <w:szCs w:val="24"/>
        </w:rPr>
        <w:t>Vlerësimi të bëhet i mbështetur në dokumenta, procedura, anketime, takime me palët e interesuara etj.</w:t>
      </w:r>
    </w:p>
    <w:p w:rsidR="00FA5847" w:rsidRPr="00F36BA9" w:rsidRDefault="00FA5847" w:rsidP="00FA5847">
      <w:pPr>
        <w:numPr>
          <w:ilvl w:val="0"/>
          <w:numId w:val="17"/>
        </w:numPr>
        <w:tabs>
          <w:tab w:val="left" w:pos="742"/>
        </w:tabs>
        <w:spacing w:after="120" w:line="276" w:lineRule="auto"/>
        <w:ind w:left="742" w:hanging="458"/>
        <w:jc w:val="both"/>
        <w:rPr>
          <w:rFonts w:ascii="Times New Roman" w:eastAsia="Calibri" w:hAnsi="Times New Roman" w:cs="Times New Roman"/>
          <w:color w:val="000000"/>
          <w:sz w:val="24"/>
          <w:szCs w:val="24"/>
        </w:rPr>
      </w:pPr>
      <w:r w:rsidRPr="00F36BA9">
        <w:rPr>
          <w:rFonts w:ascii="Times New Roman" w:eastAsia="Calibri" w:hAnsi="Times New Roman" w:cs="Times New Roman"/>
          <w:color w:val="000000"/>
          <w:sz w:val="24"/>
          <w:szCs w:val="24"/>
        </w:rPr>
        <w:t>Hartimi i Raportit të Vlerësimit të Brendshëm (RVB) të kryhet sipas formatit të hartuar nga ASCAL, duke mos bërë asnjë lloj ndryshimi (psh. Bashkim kriteresh, heqje kriteresh, etj.).</w:t>
      </w:r>
    </w:p>
    <w:p w:rsidR="00FA5847" w:rsidRPr="00F36BA9" w:rsidRDefault="00FA5847" w:rsidP="00FA5847">
      <w:pPr>
        <w:keepNext/>
        <w:tabs>
          <w:tab w:val="left" w:pos="993"/>
        </w:tabs>
        <w:autoSpaceDE w:val="0"/>
        <w:autoSpaceDN w:val="0"/>
        <w:adjustRightInd w:val="0"/>
        <w:spacing w:after="120" w:line="276" w:lineRule="auto"/>
        <w:jc w:val="both"/>
        <w:outlineLvl w:val="6"/>
        <w:rPr>
          <w:rFonts w:ascii="Times New Roman" w:eastAsia="Calibri" w:hAnsi="Times New Roman" w:cs="Times New Roman"/>
          <w:color w:val="000000"/>
          <w:sz w:val="24"/>
          <w:szCs w:val="24"/>
        </w:rPr>
      </w:pPr>
    </w:p>
    <w:p w:rsidR="00FA5847" w:rsidRPr="00F36BA9" w:rsidRDefault="00FA5847" w:rsidP="00FA5847">
      <w:pPr>
        <w:keepNext/>
        <w:tabs>
          <w:tab w:val="left" w:pos="993"/>
        </w:tabs>
        <w:autoSpaceDE w:val="0"/>
        <w:autoSpaceDN w:val="0"/>
        <w:adjustRightInd w:val="0"/>
        <w:spacing w:after="120" w:line="276" w:lineRule="auto"/>
        <w:jc w:val="both"/>
        <w:outlineLvl w:val="6"/>
        <w:rPr>
          <w:rFonts w:ascii="Times New Roman" w:eastAsia="Times New Roman" w:hAnsi="Times New Roman" w:cs="Times New Roman"/>
          <w:b/>
          <w:color w:val="000000"/>
          <w:sz w:val="24"/>
          <w:szCs w:val="24"/>
          <w:lang w:val="it-IT"/>
        </w:rPr>
      </w:pPr>
      <w:r w:rsidRPr="00F36BA9">
        <w:rPr>
          <w:rFonts w:ascii="Times New Roman" w:eastAsia="Times New Roman" w:hAnsi="Times New Roman" w:cs="Times New Roman"/>
          <w:b/>
          <w:color w:val="000000"/>
          <w:sz w:val="24"/>
          <w:szCs w:val="24"/>
          <w:lang w:val="it-IT"/>
        </w:rPr>
        <w:t>ETAPAT E PROCEDURËS SË VLERËSIMIT TË BRENDSHËM NGA INSTITUCIONET E ARSIMIT TË LARTË</w:t>
      </w:r>
    </w:p>
    <w:p w:rsidR="00FA5847" w:rsidRPr="00F36BA9" w:rsidRDefault="00FA5847" w:rsidP="00FA5847">
      <w:pPr>
        <w:spacing w:after="120" w:line="276" w:lineRule="auto"/>
        <w:jc w:val="both"/>
        <w:rPr>
          <w:rFonts w:ascii="Times New Roman" w:eastAsia="Times New Roman" w:hAnsi="Times New Roman" w:cs="Times New Roman"/>
          <w:color w:val="000000"/>
          <w:sz w:val="24"/>
          <w:szCs w:val="24"/>
          <w:lang w:val="it-IT"/>
        </w:rPr>
      </w:pPr>
      <w:r w:rsidRPr="00F36BA9">
        <w:rPr>
          <w:rFonts w:ascii="Times New Roman" w:eastAsia="Times New Roman" w:hAnsi="Times New Roman" w:cs="Times New Roman"/>
          <w:color w:val="000000"/>
          <w:sz w:val="24"/>
          <w:szCs w:val="24"/>
          <w:lang w:val="it-IT"/>
        </w:rPr>
        <w:t>Paraqitja e kërkesës së IAL për vlerësim dhe shqyrtimi i saj nga ASCAL dhe Bordi i Akreditimit.</w:t>
      </w:r>
    </w:p>
    <w:p w:rsidR="00FA5847" w:rsidRPr="00F36BA9" w:rsidRDefault="00FA5847" w:rsidP="00FA5847">
      <w:pPr>
        <w:numPr>
          <w:ilvl w:val="0"/>
          <w:numId w:val="18"/>
        </w:numPr>
        <w:spacing w:after="120" w:line="276" w:lineRule="auto"/>
        <w:ind w:left="709" w:hanging="425"/>
        <w:jc w:val="both"/>
        <w:rPr>
          <w:rFonts w:ascii="Times New Roman" w:eastAsia="Times New Roman" w:hAnsi="Times New Roman" w:cs="Times New Roman"/>
          <w:color w:val="000000"/>
          <w:sz w:val="24"/>
          <w:szCs w:val="24"/>
          <w:lang w:val="it-IT"/>
        </w:rPr>
      </w:pPr>
      <w:r w:rsidRPr="00F36BA9">
        <w:rPr>
          <w:rFonts w:ascii="Times New Roman" w:eastAsia="Times New Roman" w:hAnsi="Times New Roman" w:cs="Times New Roman"/>
          <w:color w:val="000000"/>
          <w:sz w:val="24"/>
          <w:szCs w:val="24"/>
          <w:lang w:val="it-IT"/>
        </w:rPr>
        <w:t>Miratimi i kërkesës dhe përcaktimi i afateve kohore të vlerësimit nga ASCAL dhe BA.</w:t>
      </w:r>
    </w:p>
    <w:p w:rsidR="00FA5847" w:rsidRPr="00F36BA9" w:rsidRDefault="00FA5847" w:rsidP="00FA5847">
      <w:pPr>
        <w:numPr>
          <w:ilvl w:val="0"/>
          <w:numId w:val="18"/>
        </w:numPr>
        <w:spacing w:after="120" w:line="276" w:lineRule="auto"/>
        <w:ind w:left="709" w:hanging="425"/>
        <w:jc w:val="both"/>
        <w:rPr>
          <w:rFonts w:ascii="Times New Roman" w:eastAsia="Times New Roman" w:hAnsi="Times New Roman" w:cs="Times New Roman"/>
          <w:color w:val="000000"/>
          <w:sz w:val="24"/>
          <w:szCs w:val="24"/>
          <w:lang w:val="it-IT"/>
        </w:rPr>
      </w:pPr>
      <w:r w:rsidRPr="00F36BA9">
        <w:rPr>
          <w:rFonts w:ascii="Times New Roman" w:eastAsia="Times New Roman" w:hAnsi="Times New Roman" w:cs="Times New Roman"/>
          <w:color w:val="000000"/>
          <w:sz w:val="24"/>
          <w:szCs w:val="24"/>
          <w:lang w:val="it-IT"/>
        </w:rPr>
        <w:t>Njoftohet zyrtarisht Koordinatori i IAL, për fillimin e procesit të akreditimit, dhe caktohet data e takimit me të për diskutimin e hapave të procesit.</w:t>
      </w:r>
    </w:p>
    <w:p w:rsidR="00FA5847" w:rsidRPr="00F36BA9" w:rsidRDefault="00FA5847" w:rsidP="00FA5847">
      <w:pPr>
        <w:numPr>
          <w:ilvl w:val="0"/>
          <w:numId w:val="18"/>
        </w:numPr>
        <w:spacing w:after="120" w:line="276" w:lineRule="auto"/>
        <w:ind w:left="709" w:hanging="425"/>
        <w:jc w:val="both"/>
        <w:rPr>
          <w:rFonts w:ascii="Times New Roman" w:eastAsia="Times New Roman" w:hAnsi="Times New Roman" w:cs="Times New Roman"/>
          <w:color w:val="000000"/>
          <w:sz w:val="24"/>
          <w:szCs w:val="24"/>
          <w:lang w:val="it-IT"/>
        </w:rPr>
      </w:pPr>
      <w:r w:rsidRPr="00F36BA9">
        <w:rPr>
          <w:rFonts w:ascii="Times New Roman" w:eastAsia="Times New Roman" w:hAnsi="Times New Roman" w:cs="Times New Roman"/>
          <w:color w:val="000000"/>
          <w:sz w:val="24"/>
          <w:szCs w:val="24"/>
          <w:lang w:val="it-IT"/>
        </w:rPr>
        <w:t>Ngritja e Grupit të Vlerësimit të Brendshëm; ky grup ngrihet nga titullari i njësisë;</w:t>
      </w:r>
    </w:p>
    <w:p w:rsidR="00FA5847" w:rsidRPr="00F36BA9" w:rsidRDefault="00FA5847" w:rsidP="00FA5847">
      <w:pPr>
        <w:numPr>
          <w:ilvl w:val="0"/>
          <w:numId w:val="18"/>
        </w:numPr>
        <w:spacing w:after="120" w:line="276" w:lineRule="auto"/>
        <w:ind w:left="709" w:hanging="425"/>
        <w:jc w:val="both"/>
        <w:rPr>
          <w:rFonts w:ascii="Times New Roman" w:eastAsia="Times New Roman" w:hAnsi="Times New Roman" w:cs="Times New Roman"/>
          <w:color w:val="000000"/>
          <w:sz w:val="24"/>
          <w:szCs w:val="24"/>
          <w:lang w:val="it-IT"/>
        </w:rPr>
      </w:pPr>
      <w:r w:rsidRPr="00F36BA9">
        <w:rPr>
          <w:rFonts w:ascii="Times New Roman" w:eastAsia="Times New Roman" w:hAnsi="Times New Roman" w:cs="Times New Roman"/>
          <w:color w:val="000000"/>
          <w:sz w:val="24"/>
          <w:szCs w:val="24"/>
          <w:lang w:val="it-IT"/>
        </w:rPr>
        <w:t>Trainimi i GVB nga stafi i ASCAL; për këtë vihen në dispozicion materialet udhëzuese për vlerësimin, organizimin e grupit dhe procesin, detyrat, të drejtat e përgjegjësitë e secilit.</w:t>
      </w:r>
    </w:p>
    <w:p w:rsidR="00FA5847" w:rsidRPr="00F36BA9" w:rsidRDefault="00FA5847" w:rsidP="00FA5847">
      <w:pPr>
        <w:numPr>
          <w:ilvl w:val="0"/>
          <w:numId w:val="18"/>
        </w:numPr>
        <w:spacing w:after="120" w:line="276" w:lineRule="auto"/>
        <w:ind w:left="709" w:hanging="425"/>
        <w:jc w:val="both"/>
        <w:rPr>
          <w:rFonts w:ascii="Times New Roman" w:eastAsia="Times New Roman" w:hAnsi="Times New Roman" w:cs="Times New Roman"/>
          <w:color w:val="000000"/>
          <w:sz w:val="24"/>
          <w:szCs w:val="24"/>
          <w:lang w:val="it-IT"/>
        </w:rPr>
      </w:pPr>
      <w:r w:rsidRPr="00F36BA9">
        <w:rPr>
          <w:rFonts w:ascii="Times New Roman" w:eastAsia="Times New Roman" w:hAnsi="Times New Roman" w:cs="Times New Roman"/>
          <w:color w:val="000000"/>
          <w:sz w:val="24"/>
          <w:szCs w:val="24"/>
          <w:lang w:val="it-IT"/>
        </w:rPr>
        <w:lastRenderedPageBreak/>
        <w:t xml:space="preserve">Kryerja e vlerësimit të brendshëm sipas udhëzuesit në fjalë (shih më tej). Gjatë kësaj faze GVB qëndron në kontakt të vazhdueshëm me ASCAL dhe asistohet nga kjo e fundit në rast kërkese; </w:t>
      </w:r>
    </w:p>
    <w:p w:rsidR="00FA5847" w:rsidRPr="00F36BA9" w:rsidRDefault="00FA5847" w:rsidP="00FA5847">
      <w:pPr>
        <w:numPr>
          <w:ilvl w:val="0"/>
          <w:numId w:val="18"/>
        </w:numPr>
        <w:spacing w:after="120" w:line="276" w:lineRule="auto"/>
        <w:ind w:left="709" w:hanging="425"/>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 xml:space="preserve">Përgatitja e Dosjes së Vetëvlerësimit (DVV); </w:t>
      </w:r>
    </w:p>
    <w:p w:rsidR="00FA5847" w:rsidRDefault="00FA5847" w:rsidP="00FA5847">
      <w:pPr>
        <w:numPr>
          <w:ilvl w:val="0"/>
          <w:numId w:val="18"/>
        </w:numPr>
        <w:spacing w:after="120" w:line="276" w:lineRule="auto"/>
        <w:ind w:left="709" w:hanging="425"/>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 xml:space="preserve">Dorëzimi zyrtarisht në </w:t>
      </w:r>
      <w:r w:rsidRPr="00F36BA9">
        <w:rPr>
          <w:rFonts w:ascii="Times New Roman" w:eastAsia="Times New Roman" w:hAnsi="Times New Roman" w:cs="Times New Roman"/>
          <w:color w:val="000000"/>
          <w:sz w:val="24"/>
          <w:szCs w:val="24"/>
          <w:lang w:val="it-IT"/>
        </w:rPr>
        <w:t>ASCAL brenda afatit të përcaktuar (në versionin e printuar dhe elektronik CD, firmosur / vulosur nga IAL në çdo faqe)</w:t>
      </w:r>
      <w:r w:rsidRPr="00F36BA9">
        <w:rPr>
          <w:rFonts w:ascii="Times New Roman" w:eastAsia="Times New Roman" w:hAnsi="Times New Roman" w:cs="Times New Roman"/>
          <w:color w:val="000000"/>
          <w:sz w:val="24"/>
          <w:szCs w:val="24"/>
        </w:rPr>
        <w:t>, materialet të ngarkohen edhe në sistemin AMS të ASCAL.</w:t>
      </w:r>
    </w:p>
    <w:p w:rsidR="00FA5847" w:rsidRDefault="00FA5847" w:rsidP="00FA5847">
      <w:pPr>
        <w:spacing w:after="120" w:line="276" w:lineRule="auto"/>
        <w:jc w:val="both"/>
        <w:rPr>
          <w:rFonts w:ascii="Times New Roman" w:eastAsia="Times New Roman" w:hAnsi="Times New Roman" w:cs="Times New Roman"/>
          <w:color w:val="000000"/>
          <w:sz w:val="24"/>
          <w:szCs w:val="24"/>
        </w:rPr>
      </w:pPr>
    </w:p>
    <w:p w:rsidR="00FA5847" w:rsidRPr="00F36BA9" w:rsidRDefault="00FA5847" w:rsidP="00FA5847">
      <w:pPr>
        <w:tabs>
          <w:tab w:val="center" w:pos="993"/>
          <w:tab w:val="right" w:pos="8640"/>
        </w:tabs>
        <w:autoSpaceDE w:val="0"/>
        <w:autoSpaceDN w:val="0"/>
        <w:adjustRightInd w:val="0"/>
        <w:spacing w:after="120" w:line="276" w:lineRule="auto"/>
        <w:jc w:val="both"/>
        <w:rPr>
          <w:rFonts w:ascii="Times New Roman" w:eastAsia="Times New Roman" w:hAnsi="Times New Roman" w:cs="Times New Roman"/>
          <w:b/>
          <w:color w:val="000000"/>
          <w:sz w:val="24"/>
          <w:szCs w:val="24"/>
        </w:rPr>
      </w:pPr>
      <w:r w:rsidRPr="00F36BA9">
        <w:rPr>
          <w:rFonts w:ascii="Times New Roman" w:eastAsia="Times New Roman" w:hAnsi="Times New Roman" w:cs="Times New Roman"/>
          <w:b/>
          <w:color w:val="000000"/>
          <w:sz w:val="24"/>
          <w:szCs w:val="24"/>
        </w:rPr>
        <w:t xml:space="preserve">DOSJA E VETËVLERËSIMIT </w:t>
      </w:r>
    </w:p>
    <w:p w:rsidR="00FA5847" w:rsidRPr="00F36BA9" w:rsidRDefault="00FA5847" w:rsidP="00FA5847">
      <w:pPr>
        <w:autoSpaceDE w:val="0"/>
        <w:autoSpaceDN w:val="0"/>
        <w:adjustRightInd w:val="0"/>
        <w:spacing w:after="120" w:line="276" w:lineRule="auto"/>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 xml:space="preserve">Në përbërje të Dosjes së Vetëvlerësimit përfshihet: </w:t>
      </w:r>
      <w:r w:rsidRPr="00F36BA9">
        <w:rPr>
          <w:rFonts w:ascii="Times New Roman" w:eastAsia="Times New Roman" w:hAnsi="Times New Roman" w:cs="Times New Roman"/>
          <w:i/>
          <w:color w:val="000000"/>
          <w:sz w:val="24"/>
          <w:szCs w:val="24"/>
        </w:rPr>
        <w:t xml:space="preserve">Mendimi me shkrim i Drejtuesit të Njësisë </w:t>
      </w:r>
      <w:r w:rsidRPr="00F36BA9">
        <w:rPr>
          <w:rFonts w:ascii="Times New Roman" w:eastAsia="Times New Roman" w:hAnsi="Times New Roman" w:cs="Times New Roman"/>
          <w:color w:val="000000"/>
          <w:sz w:val="24"/>
          <w:szCs w:val="24"/>
        </w:rPr>
        <w:t>dhe</w:t>
      </w:r>
      <w:r w:rsidRPr="00F36BA9">
        <w:rPr>
          <w:rFonts w:ascii="Times New Roman" w:eastAsia="Times New Roman" w:hAnsi="Times New Roman" w:cs="Times New Roman"/>
          <w:i/>
          <w:color w:val="000000"/>
          <w:sz w:val="24"/>
          <w:szCs w:val="24"/>
        </w:rPr>
        <w:t xml:space="preserve"> Raporti i Vlerësimit të Brendshëm, </w:t>
      </w:r>
      <w:r w:rsidRPr="00F36BA9">
        <w:rPr>
          <w:rFonts w:ascii="Times New Roman" w:eastAsia="Times New Roman" w:hAnsi="Times New Roman" w:cs="Times New Roman"/>
          <w:color w:val="000000"/>
          <w:sz w:val="24"/>
          <w:szCs w:val="24"/>
        </w:rPr>
        <w:t>i shkruar dhe firmosur nga secili anëtar i GVB.</w:t>
      </w:r>
    </w:p>
    <w:p w:rsidR="00FA5847" w:rsidRPr="00F36BA9" w:rsidRDefault="00FA5847" w:rsidP="00FA5847">
      <w:pPr>
        <w:autoSpaceDE w:val="0"/>
        <w:autoSpaceDN w:val="0"/>
        <w:adjustRightInd w:val="0"/>
        <w:spacing w:after="120" w:line="276" w:lineRule="auto"/>
        <w:ind w:left="1134"/>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Kërkohet mendimi i drejtuesit të Njësisë, kur Programi i studimit po kalon fazën e rivlerësimit periodik. Në këtë rast ai do të shkruajë:</w:t>
      </w:r>
    </w:p>
    <w:p w:rsidR="00FA5847" w:rsidRPr="00F36BA9" w:rsidRDefault="00FA5847" w:rsidP="00FA5847">
      <w:pPr>
        <w:numPr>
          <w:ilvl w:val="0"/>
          <w:numId w:val="20"/>
        </w:numPr>
        <w:tabs>
          <w:tab w:val="num" w:pos="1985"/>
        </w:tabs>
        <w:autoSpaceDE w:val="0"/>
        <w:autoSpaceDN w:val="0"/>
        <w:adjustRightInd w:val="0"/>
        <w:spacing w:after="120" w:line="276" w:lineRule="auto"/>
        <w:ind w:left="1985" w:hanging="284"/>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Të dhëna për Institucionin e Arsimit të Lartë që ai drejton;</w:t>
      </w:r>
    </w:p>
    <w:p w:rsidR="00FA5847" w:rsidRPr="00F36BA9" w:rsidRDefault="00FA5847" w:rsidP="00FA5847">
      <w:pPr>
        <w:numPr>
          <w:ilvl w:val="0"/>
          <w:numId w:val="20"/>
        </w:numPr>
        <w:tabs>
          <w:tab w:val="num" w:pos="1985"/>
        </w:tabs>
        <w:autoSpaceDE w:val="0"/>
        <w:autoSpaceDN w:val="0"/>
        <w:adjustRightInd w:val="0"/>
        <w:spacing w:after="120" w:line="276" w:lineRule="auto"/>
        <w:ind w:left="1985" w:hanging="284"/>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Të japë opinionet e veta personale ku të tregohen vlerat e forta, dobësitë dhe perspektiva e programit të studimit për të cilën është përgjegjës;</w:t>
      </w:r>
    </w:p>
    <w:p w:rsidR="00FA5847" w:rsidRPr="00F36BA9" w:rsidRDefault="00FA5847" w:rsidP="00FA5847">
      <w:pPr>
        <w:numPr>
          <w:ilvl w:val="0"/>
          <w:numId w:val="20"/>
        </w:numPr>
        <w:tabs>
          <w:tab w:val="num" w:pos="1985"/>
        </w:tabs>
        <w:autoSpaceDE w:val="0"/>
        <w:autoSpaceDN w:val="0"/>
        <w:adjustRightInd w:val="0"/>
        <w:spacing w:after="120" w:line="276" w:lineRule="auto"/>
        <w:ind w:left="1985" w:hanging="284"/>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Të analizojë zhvillimet kryesore që nga vlerësimi i fundit, duke theksuar sidomos përmbushjen e detyrave të lëna nga vlerësimet e mëparshme;</w:t>
      </w:r>
    </w:p>
    <w:p w:rsidR="00FA5847" w:rsidRPr="00F36BA9" w:rsidRDefault="00FA5847" w:rsidP="00FA5847">
      <w:pPr>
        <w:numPr>
          <w:ilvl w:val="0"/>
          <w:numId w:val="20"/>
        </w:numPr>
        <w:tabs>
          <w:tab w:val="num" w:pos="1985"/>
        </w:tabs>
        <w:autoSpaceDE w:val="0"/>
        <w:autoSpaceDN w:val="0"/>
        <w:adjustRightInd w:val="0"/>
        <w:spacing w:after="120" w:line="276" w:lineRule="auto"/>
        <w:ind w:left="1985" w:hanging="284"/>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Të tregojë gjendjen ekzistuese në raport me atë programi/et e studimit, ka për mision ose synon të arrijë.</w:t>
      </w:r>
    </w:p>
    <w:p w:rsidR="00FA5847" w:rsidRPr="00F36BA9" w:rsidRDefault="00FA5847" w:rsidP="00FA5847">
      <w:pPr>
        <w:spacing w:after="120" w:line="276" w:lineRule="auto"/>
        <w:jc w:val="both"/>
        <w:rPr>
          <w:rFonts w:ascii="Times New Roman" w:eastAsia="Times New Roman" w:hAnsi="Times New Roman" w:cs="Times New Roman"/>
          <w:color w:val="000000"/>
          <w:sz w:val="24"/>
          <w:szCs w:val="24"/>
        </w:rPr>
      </w:pPr>
    </w:p>
    <w:p w:rsidR="00FA5847" w:rsidRPr="00F36BA9" w:rsidRDefault="00FA5847" w:rsidP="00FA5847">
      <w:pPr>
        <w:keepNext/>
        <w:spacing w:after="120" w:line="276" w:lineRule="auto"/>
        <w:jc w:val="both"/>
        <w:outlineLvl w:val="2"/>
        <w:rPr>
          <w:rFonts w:ascii="Times New Roman" w:eastAsia="Times New Roman" w:hAnsi="Times New Roman" w:cs="Times New Roman"/>
          <w:b/>
          <w:color w:val="000000"/>
          <w:sz w:val="24"/>
          <w:szCs w:val="24"/>
        </w:rPr>
      </w:pPr>
      <w:bookmarkStart w:id="0" w:name="_Toc348967319"/>
      <w:bookmarkStart w:id="1" w:name="_Toc437441518"/>
      <w:r w:rsidRPr="00F36BA9">
        <w:rPr>
          <w:rFonts w:ascii="Times New Roman" w:eastAsia="Times New Roman" w:hAnsi="Times New Roman" w:cs="Times New Roman"/>
          <w:b/>
          <w:color w:val="000000"/>
          <w:sz w:val="24"/>
          <w:szCs w:val="24"/>
        </w:rPr>
        <w:t>PËRMBAJTJA DOSJES SË VETËVLERËSIMIT</w:t>
      </w:r>
      <w:bookmarkEnd w:id="0"/>
      <w:bookmarkEnd w:id="1"/>
      <w:r w:rsidRPr="00F36BA9">
        <w:rPr>
          <w:rFonts w:ascii="Times New Roman" w:eastAsia="Times New Roman" w:hAnsi="Times New Roman" w:cs="Times New Roman"/>
          <w:b/>
          <w:color w:val="000000"/>
          <w:sz w:val="24"/>
          <w:szCs w:val="24"/>
        </w:rPr>
        <w:t xml:space="preserve"> </w:t>
      </w:r>
    </w:p>
    <w:p w:rsidR="00FA5847" w:rsidRPr="00F36BA9" w:rsidRDefault="00FA5847" w:rsidP="00FA5847">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Dosja e Vlerësimit të Brendshëm në kuadër të vlerësimit të jashtëm dhe akreditimit të programit të studimit duhet të përmbajë këto dokumente:</w:t>
      </w:r>
    </w:p>
    <w:p w:rsidR="00FA5847" w:rsidRPr="00F36BA9" w:rsidRDefault="00FA5847" w:rsidP="00FA5847">
      <w:pPr>
        <w:numPr>
          <w:ilvl w:val="0"/>
          <w:numId w:val="19"/>
        </w:numPr>
        <w:spacing w:after="120" w:line="276" w:lineRule="auto"/>
        <w:ind w:left="357" w:hanging="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Mendimi me shkrim i Drejtuesit të IAL (Universitetit/Fakultetit);</w:t>
      </w:r>
    </w:p>
    <w:p w:rsidR="00FA5847" w:rsidRPr="00F36BA9" w:rsidRDefault="00FA5847" w:rsidP="00FA5847">
      <w:pPr>
        <w:numPr>
          <w:ilvl w:val="0"/>
          <w:numId w:val="19"/>
        </w:numPr>
        <w:spacing w:after="120" w:line="276" w:lineRule="auto"/>
        <w:ind w:left="357" w:hanging="357"/>
        <w:jc w:val="both"/>
        <w:rPr>
          <w:rFonts w:ascii="Times New Roman" w:eastAsia="Calibri" w:hAnsi="Times New Roman" w:cs="Times New Roman"/>
          <w:b/>
          <w:color w:val="000000"/>
          <w:sz w:val="24"/>
          <w:szCs w:val="24"/>
          <w:lang w:val="it-IT"/>
        </w:rPr>
      </w:pPr>
      <w:r w:rsidRPr="00F36BA9">
        <w:rPr>
          <w:rFonts w:ascii="Times New Roman" w:eastAsia="Calibri" w:hAnsi="Times New Roman" w:cs="Times New Roman"/>
          <w:color w:val="000000"/>
          <w:sz w:val="24"/>
          <w:szCs w:val="24"/>
          <w:lang w:val="en-GB"/>
        </w:rPr>
        <w:t xml:space="preserve">Raporti i Vlerësimit të Brendshëm, i firmosur nga të gjithë anëtarët e GVB. </w:t>
      </w:r>
      <w:r>
        <w:rPr>
          <w:rFonts w:ascii="Times New Roman" w:eastAsia="Calibri" w:hAnsi="Times New Roman" w:cs="Times New Roman"/>
          <w:color w:val="000000"/>
          <w:sz w:val="24"/>
          <w:szCs w:val="24"/>
          <w:lang w:val="it-IT"/>
        </w:rPr>
        <w:t>RVB</w:t>
      </w:r>
      <w:r w:rsidRPr="00F36BA9">
        <w:rPr>
          <w:rFonts w:ascii="Times New Roman" w:eastAsia="Calibri" w:hAnsi="Times New Roman" w:cs="Times New Roman"/>
          <w:color w:val="000000"/>
          <w:sz w:val="24"/>
          <w:szCs w:val="24"/>
          <w:lang w:val="it-IT"/>
        </w:rPr>
        <w:t xml:space="preserve"> përbëhet nga 6 fusha për programet e ciklit të</w:t>
      </w:r>
      <w:r>
        <w:rPr>
          <w:rFonts w:ascii="Times New Roman" w:eastAsia="Calibri" w:hAnsi="Times New Roman" w:cs="Times New Roman"/>
          <w:color w:val="000000"/>
          <w:sz w:val="24"/>
          <w:szCs w:val="24"/>
          <w:lang w:val="it-IT"/>
        </w:rPr>
        <w:t xml:space="preserve"> tret</w:t>
      </w:r>
      <w:r w:rsidRPr="00F36BA9">
        <w:rPr>
          <w:rFonts w:ascii="Times New Roman" w:eastAsia="Calibri" w:hAnsi="Times New Roman" w:cs="Times New Roman"/>
          <w:color w:val="000000"/>
          <w:sz w:val="24"/>
          <w:szCs w:val="24"/>
          <w:lang w:val="it-IT"/>
        </w:rPr>
        <w:t xml:space="preserve">ë </w:t>
      </w:r>
      <w:r>
        <w:rPr>
          <w:rFonts w:ascii="Times New Roman" w:eastAsia="Calibri" w:hAnsi="Times New Roman" w:cs="Times New Roman"/>
          <w:color w:val="000000"/>
          <w:sz w:val="24"/>
          <w:szCs w:val="24"/>
          <w:lang w:val="it-IT"/>
        </w:rPr>
        <w:t>Specializime Afatgjata</w:t>
      </w:r>
      <w:r w:rsidRPr="00F36BA9">
        <w:rPr>
          <w:rFonts w:ascii="Times New Roman" w:eastAsia="Calibri" w:hAnsi="Times New Roman" w:cs="Times New Roman"/>
          <w:color w:val="000000"/>
          <w:sz w:val="24"/>
          <w:szCs w:val="24"/>
          <w:lang w:val="it-IT"/>
        </w:rPr>
        <w:t>.</w:t>
      </w:r>
    </w:p>
    <w:p w:rsidR="00FA5847" w:rsidRPr="00F36BA9" w:rsidRDefault="00FA5847" w:rsidP="00FA5847">
      <w:pPr>
        <w:numPr>
          <w:ilvl w:val="0"/>
          <w:numId w:val="19"/>
        </w:numPr>
        <w:spacing w:after="120" w:line="276" w:lineRule="auto"/>
        <w:ind w:left="357" w:hanging="357"/>
        <w:jc w:val="both"/>
        <w:rPr>
          <w:rFonts w:ascii="Times New Roman" w:eastAsia="Calibri" w:hAnsi="Times New Roman" w:cs="Times New Roman"/>
          <w:b/>
          <w:color w:val="000000"/>
          <w:sz w:val="24"/>
          <w:szCs w:val="24"/>
          <w:lang w:val="it-IT"/>
        </w:rPr>
      </w:pPr>
      <w:r w:rsidRPr="00F36BA9">
        <w:rPr>
          <w:rFonts w:ascii="Times New Roman" w:eastAsia="Calibri" w:hAnsi="Times New Roman" w:cs="Times New Roman"/>
          <w:color w:val="000000"/>
          <w:sz w:val="24"/>
          <w:szCs w:val="24"/>
          <w:lang w:val="it-IT"/>
        </w:rPr>
        <w:t>Çdo fushë duhet të analizojë kërkesat e standardid / kritereve, duke përfshirë pjesën përshkrimore dhe duke dhënë tregues të matshëm, bazuar në evidencat e dosjes së vetvlerësimit.</w:t>
      </w:r>
    </w:p>
    <w:p w:rsidR="00FA5847" w:rsidRPr="00F36BA9" w:rsidRDefault="00FA5847" w:rsidP="00FA5847">
      <w:pPr>
        <w:numPr>
          <w:ilvl w:val="0"/>
          <w:numId w:val="19"/>
        </w:numPr>
        <w:spacing w:after="120" w:line="276" w:lineRule="auto"/>
        <w:ind w:left="357" w:hanging="357"/>
        <w:jc w:val="both"/>
        <w:rPr>
          <w:rFonts w:ascii="Times New Roman" w:eastAsia="Calibri" w:hAnsi="Times New Roman" w:cs="Times New Roman"/>
          <w:b/>
          <w:color w:val="000000"/>
          <w:sz w:val="24"/>
          <w:szCs w:val="24"/>
          <w:lang w:val="it-IT"/>
        </w:rPr>
      </w:pPr>
      <w:r w:rsidRPr="00F36BA9">
        <w:rPr>
          <w:rFonts w:ascii="Times New Roman" w:eastAsia="Calibri" w:hAnsi="Times New Roman" w:cs="Times New Roman"/>
          <w:color w:val="000000"/>
          <w:sz w:val="24"/>
          <w:szCs w:val="24"/>
          <w:lang w:val="it-IT"/>
        </w:rPr>
        <w:t>Bazuar në këtë analizë GVB duhet të përcaktojë vlerësimin përfundimtar të përmbushjes së standardeve të çdo fushe, dhe fushës në tërësi.</w:t>
      </w:r>
    </w:p>
    <w:p w:rsidR="00976033" w:rsidRPr="00FA5847" w:rsidRDefault="00FA5847" w:rsidP="00FA5847">
      <w:pPr>
        <w:numPr>
          <w:ilvl w:val="0"/>
          <w:numId w:val="19"/>
        </w:numPr>
        <w:spacing w:after="120" w:line="276" w:lineRule="auto"/>
        <w:ind w:left="357" w:hanging="357"/>
        <w:jc w:val="both"/>
        <w:rPr>
          <w:rFonts w:ascii="Times New Roman" w:eastAsia="Calibri" w:hAnsi="Times New Roman" w:cs="Times New Roman"/>
          <w:b/>
          <w:color w:val="000000"/>
          <w:sz w:val="24"/>
          <w:szCs w:val="24"/>
          <w:lang w:val="it-IT"/>
        </w:rPr>
      </w:pPr>
      <w:r w:rsidRPr="00F36BA9">
        <w:rPr>
          <w:rFonts w:ascii="Times New Roman" w:eastAsia="Calibri" w:hAnsi="Times New Roman" w:cs="Times New Roman"/>
          <w:color w:val="000000"/>
          <w:sz w:val="24"/>
          <w:szCs w:val="24"/>
          <w:lang w:val="it-IT"/>
        </w:rPr>
        <w:t xml:space="preserve">Raporti i Vlerësimit të Brendshëm duhet të përmbajë edhe analizën përfundimtare të institucionit duke vënë në dukje pikat e forta dhe të dobëta të tij. </w:t>
      </w:r>
    </w:p>
    <w:p w:rsidR="00976033" w:rsidRDefault="00976033" w:rsidP="00ED503D">
      <w:pPr>
        <w:jc w:val="center"/>
      </w:pPr>
    </w:p>
    <w:p w:rsidR="00976033" w:rsidRDefault="00976033" w:rsidP="00FA5847"/>
    <w:p w:rsidR="0059370E" w:rsidRPr="000E54E3" w:rsidRDefault="0059370E" w:rsidP="0059370E">
      <w:pPr>
        <w:spacing w:after="120" w:line="276" w:lineRule="auto"/>
        <w:jc w:val="center"/>
        <w:rPr>
          <w:rFonts w:ascii="Times New Roman" w:eastAsia="Calibri" w:hAnsi="Times New Roman" w:cs="Times New Roman"/>
          <w:color w:val="FF0000"/>
          <w:sz w:val="32"/>
          <w:szCs w:val="32"/>
        </w:rPr>
      </w:pPr>
      <w:r w:rsidRPr="000E54E3">
        <w:rPr>
          <w:rFonts w:ascii="Times New Roman" w:eastAsia="Calibri" w:hAnsi="Times New Roman" w:cs="Times New Roman"/>
          <w:noProof/>
          <w:color w:val="FF0000"/>
          <w:sz w:val="32"/>
          <w:szCs w:val="32"/>
        </w:rPr>
        <w:lastRenderedPageBreak/>
        <w:t>Logo e Institucionit të arsimit të lartë</w:t>
      </w:r>
    </w:p>
    <w:p w:rsidR="0059370E" w:rsidRPr="000E54E3" w:rsidRDefault="0059370E" w:rsidP="0059370E">
      <w:pPr>
        <w:spacing w:after="120" w:line="276" w:lineRule="auto"/>
        <w:jc w:val="center"/>
        <w:rPr>
          <w:rFonts w:ascii="Times New Roman" w:eastAsia="Calibri" w:hAnsi="Times New Roman" w:cs="Times New Roman"/>
          <w:color w:val="FF0000"/>
          <w:sz w:val="28"/>
          <w:szCs w:val="28"/>
        </w:rPr>
      </w:pPr>
      <w:r w:rsidRPr="000E54E3">
        <w:rPr>
          <w:rFonts w:ascii="Times New Roman" w:eastAsia="Calibri" w:hAnsi="Times New Roman" w:cs="Times New Roman"/>
          <w:color w:val="FF0000"/>
          <w:sz w:val="28"/>
          <w:szCs w:val="28"/>
        </w:rPr>
        <w:t>Emërtimi i institucionit të arsimit të lartë</w:t>
      </w:r>
    </w:p>
    <w:p w:rsidR="00ED503D" w:rsidRPr="00C16221" w:rsidRDefault="00ED503D" w:rsidP="00ED503D">
      <w:pPr>
        <w:jc w:val="center"/>
        <w:rPr>
          <w:rFonts w:ascii="Baskerville Old Face" w:hAnsi="Baskerville Old Face"/>
          <w:sz w:val="24"/>
          <w:szCs w:val="24"/>
        </w:rPr>
      </w:pPr>
    </w:p>
    <w:p w:rsidR="00ED503D" w:rsidRPr="00C16221" w:rsidRDefault="00ED503D" w:rsidP="00ED503D">
      <w:pPr>
        <w:jc w:val="center"/>
        <w:rPr>
          <w:rFonts w:ascii="Baskerville Old Face" w:hAnsi="Baskerville Old Face"/>
          <w:sz w:val="24"/>
          <w:szCs w:val="24"/>
        </w:rPr>
      </w:pPr>
    </w:p>
    <w:p w:rsidR="00ED503D" w:rsidRPr="00C16221" w:rsidRDefault="00ED503D" w:rsidP="00ED503D">
      <w:pPr>
        <w:jc w:val="center"/>
        <w:rPr>
          <w:rFonts w:ascii="Baskerville Old Face" w:hAnsi="Baskerville Old Face"/>
          <w:sz w:val="24"/>
          <w:szCs w:val="24"/>
        </w:rPr>
      </w:pPr>
    </w:p>
    <w:p w:rsidR="00ED503D" w:rsidRPr="00C16221" w:rsidRDefault="00ED503D" w:rsidP="00ED503D">
      <w:pPr>
        <w:jc w:val="center"/>
        <w:rPr>
          <w:rFonts w:ascii="Baskerville Old Face" w:hAnsi="Baskerville Old Face"/>
          <w:sz w:val="24"/>
          <w:szCs w:val="24"/>
        </w:rPr>
      </w:pPr>
    </w:p>
    <w:p w:rsidR="00ED503D" w:rsidRPr="00C16221" w:rsidRDefault="001641EA" w:rsidP="00ED503D">
      <w:pPr>
        <w:jc w:val="center"/>
        <w:rPr>
          <w:rFonts w:ascii="Baskerville Old Face" w:hAnsi="Baskerville Old Face"/>
          <w:b/>
          <w:sz w:val="36"/>
          <w:szCs w:val="36"/>
          <w:u w:val="single"/>
        </w:rPr>
      </w:pPr>
      <w:r>
        <w:rPr>
          <w:rFonts w:ascii="Baskerville Old Face" w:hAnsi="Baskerville Old Face"/>
          <w:b/>
          <w:sz w:val="36"/>
          <w:szCs w:val="36"/>
          <w:u w:val="single"/>
        </w:rPr>
        <w:t>RAPORTI I VLERËSIMIT TË BRENDSH</w:t>
      </w:r>
      <w:r w:rsidR="00ED503D" w:rsidRPr="00C16221">
        <w:rPr>
          <w:rFonts w:ascii="Baskerville Old Face" w:hAnsi="Baskerville Old Face"/>
          <w:b/>
          <w:sz w:val="36"/>
          <w:szCs w:val="36"/>
          <w:u w:val="single"/>
        </w:rPr>
        <w:t>ËM</w:t>
      </w:r>
      <w:r w:rsidR="00C15B46">
        <w:rPr>
          <w:rFonts w:ascii="Baskerville Old Face" w:hAnsi="Baskerville Old Face"/>
          <w:b/>
          <w:sz w:val="36"/>
          <w:szCs w:val="36"/>
          <w:u w:val="single"/>
        </w:rPr>
        <w:t xml:space="preserve"> PERIODIK</w:t>
      </w:r>
    </w:p>
    <w:p w:rsidR="00ED503D" w:rsidRPr="00C16221" w:rsidRDefault="00ED503D" w:rsidP="00ED503D">
      <w:pPr>
        <w:pBdr>
          <w:top w:val="nil"/>
          <w:left w:val="nil"/>
          <w:bottom w:val="nil"/>
          <w:right w:val="nil"/>
          <w:between w:val="nil"/>
          <w:bar w:val="nil"/>
        </w:pBdr>
        <w:spacing w:after="0" w:line="240" w:lineRule="auto"/>
        <w:jc w:val="center"/>
        <w:rPr>
          <w:rFonts w:ascii="Arial" w:eastAsia="Arial Unicode MS" w:hAnsi="Arial" w:cs="Times New Roman"/>
          <w:b/>
          <w:sz w:val="32"/>
          <w:szCs w:val="32"/>
          <w:bdr w:val="nil"/>
          <w:lang w:val="sq-AL" w:eastAsia="sq-AL"/>
        </w:rPr>
      </w:pPr>
    </w:p>
    <w:p w:rsidR="00ED503D" w:rsidRPr="00C16221" w:rsidRDefault="00ED503D" w:rsidP="00ED503D">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ED503D" w:rsidRPr="00C16221" w:rsidRDefault="00ED503D" w:rsidP="00ED503D">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tbl>
      <w:tblPr>
        <w:tblpPr w:leftFromText="180" w:rightFromText="180" w:vertAnchor="text" w:horzAnchor="margin"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ED503D" w:rsidRPr="00C16221" w:rsidTr="00243BA4">
        <w:tc>
          <w:tcPr>
            <w:tcW w:w="9243" w:type="dxa"/>
          </w:tcPr>
          <w:p w:rsidR="00ED503D" w:rsidRDefault="00ED503D" w:rsidP="001641EA">
            <w:pPr>
              <w:spacing w:before="120" w:after="220" w:line="240" w:lineRule="auto"/>
              <w:jc w:val="center"/>
              <w:rPr>
                <w:rFonts w:ascii="Baskerville Old Face" w:eastAsia="Arial Unicode MS" w:hAnsi="Baskerville Old Face" w:cs="Times New Roman"/>
                <w:b/>
                <w:sz w:val="36"/>
                <w:szCs w:val="36"/>
                <w:bdr w:val="nil"/>
                <w:lang w:val="sq-AL" w:eastAsia="sq-AL"/>
              </w:rPr>
            </w:pPr>
            <w:r w:rsidRPr="00C16221">
              <w:rPr>
                <w:rFonts w:ascii="Baskerville Old Face" w:eastAsia="Arial Unicode MS" w:hAnsi="Baskerville Old Face" w:cs="Times New Roman"/>
                <w:b/>
                <w:sz w:val="36"/>
                <w:szCs w:val="36"/>
                <w:bdr w:val="nil"/>
                <w:lang w:val="sq-AL" w:eastAsia="sq-AL"/>
              </w:rPr>
              <w:t xml:space="preserve">Programi i Studimit </w:t>
            </w:r>
            <w:r w:rsidR="001A733B">
              <w:rPr>
                <w:rFonts w:ascii="Baskerville Old Face" w:eastAsia="Arial Unicode MS" w:hAnsi="Baskerville Old Face" w:cs="Times New Roman"/>
                <w:b/>
                <w:sz w:val="36"/>
                <w:szCs w:val="36"/>
                <w:bdr w:val="nil"/>
                <w:lang w:val="sq-AL" w:eastAsia="sq-AL"/>
              </w:rPr>
              <w:t>të Ciklit të Tre</w:t>
            </w:r>
            <w:r>
              <w:rPr>
                <w:rFonts w:ascii="Baskerville Old Face" w:eastAsia="Arial Unicode MS" w:hAnsi="Baskerville Old Face" w:cs="Times New Roman"/>
                <w:b/>
                <w:sz w:val="36"/>
                <w:szCs w:val="36"/>
                <w:bdr w:val="nil"/>
                <w:lang w:val="sq-AL" w:eastAsia="sq-AL"/>
              </w:rPr>
              <w:t xml:space="preserve">të </w:t>
            </w:r>
            <w:r w:rsidR="001A733B" w:rsidRPr="001A733B">
              <w:rPr>
                <w:rFonts w:ascii="Baskerville Old Face" w:eastAsia="Arial Unicode MS" w:hAnsi="Baskerville Old Face" w:cs="Times New Roman"/>
                <w:b/>
                <w:color w:val="FF0000"/>
                <w:sz w:val="36"/>
                <w:szCs w:val="36"/>
                <w:bdr w:val="nil"/>
                <w:lang w:val="sq-AL" w:eastAsia="sq-AL"/>
              </w:rPr>
              <w:t>Specializime Afatgjata</w:t>
            </w:r>
            <w:r w:rsidR="00C15B46">
              <w:rPr>
                <w:rFonts w:ascii="Baskerville Old Face" w:eastAsia="Arial Unicode MS" w:hAnsi="Baskerville Old Face" w:cs="Times New Roman"/>
                <w:b/>
                <w:color w:val="FF0000"/>
                <w:sz w:val="36"/>
                <w:szCs w:val="36"/>
                <w:bdr w:val="nil"/>
                <w:lang w:val="sq-AL" w:eastAsia="sq-AL"/>
              </w:rPr>
              <w:t xml:space="preserve"> në</w:t>
            </w:r>
            <w:r w:rsidR="00C37C9D" w:rsidRPr="001A733B">
              <w:rPr>
                <w:rFonts w:ascii="Baskerville Old Face" w:eastAsia="Arial Unicode MS" w:hAnsi="Baskerville Old Face" w:cs="Times New Roman"/>
                <w:b/>
                <w:color w:val="FF0000"/>
                <w:sz w:val="36"/>
                <w:szCs w:val="36"/>
                <w:bdr w:val="nil"/>
                <w:lang w:val="sq-AL" w:eastAsia="sq-AL"/>
              </w:rPr>
              <w:t xml:space="preserve"> </w:t>
            </w:r>
            <w:r w:rsidRPr="00C16221">
              <w:rPr>
                <w:rFonts w:ascii="Baskerville Old Face" w:eastAsia="Arial Unicode MS" w:hAnsi="Baskerville Old Face" w:cs="Times New Roman"/>
                <w:b/>
                <w:sz w:val="36"/>
                <w:szCs w:val="36"/>
                <w:bdr w:val="nil"/>
                <w:lang w:val="sq-AL" w:eastAsia="sq-AL"/>
              </w:rPr>
              <w:t>“</w:t>
            </w:r>
            <w:r w:rsidRPr="00C16221">
              <w:rPr>
                <w:rFonts w:ascii="Baskerville Old Face" w:eastAsia="Arial Unicode MS" w:hAnsi="Baskerville Old Face" w:cs="Times New Roman"/>
                <w:b/>
                <w:color w:val="FF0000"/>
                <w:sz w:val="36"/>
                <w:szCs w:val="36"/>
                <w:bdr w:val="nil"/>
                <w:lang w:val="sq-AL" w:eastAsia="sq-AL"/>
              </w:rPr>
              <w:t>.......</w:t>
            </w:r>
            <w:r w:rsidRPr="00C16221">
              <w:rPr>
                <w:rFonts w:ascii="Baskerville Old Face" w:eastAsia="Arial Unicode MS" w:hAnsi="Baskerville Old Face" w:cs="Times New Roman"/>
                <w:b/>
                <w:sz w:val="36"/>
                <w:szCs w:val="36"/>
                <w:bdr w:val="nil"/>
                <w:lang w:val="sq-AL" w:eastAsia="sq-AL"/>
              </w:rPr>
              <w:t>”</w:t>
            </w:r>
          </w:p>
          <w:p w:rsidR="001641EA" w:rsidRPr="001641EA" w:rsidRDefault="001641EA" w:rsidP="001641EA">
            <w:pPr>
              <w:spacing w:before="120" w:after="220" w:line="240" w:lineRule="auto"/>
              <w:jc w:val="center"/>
              <w:rPr>
                <w:rFonts w:ascii="Baskerville Old Face" w:eastAsia="Arial Unicode MS" w:hAnsi="Baskerville Old Face" w:cs="Times New Roman"/>
                <w:b/>
                <w:sz w:val="36"/>
                <w:szCs w:val="36"/>
                <w:bdr w:val="nil"/>
                <w:lang w:val="sq-AL" w:eastAsia="sq-AL"/>
              </w:rPr>
            </w:pPr>
          </w:p>
        </w:tc>
      </w:tr>
    </w:tbl>
    <w:p w:rsidR="00ED503D" w:rsidRPr="00C16221" w:rsidRDefault="00ED503D" w:rsidP="00ED503D">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ED503D" w:rsidRPr="00C16221" w:rsidRDefault="00ED503D" w:rsidP="00ED503D">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ED503D" w:rsidRPr="00C16221" w:rsidRDefault="00ED503D" w:rsidP="00ED503D">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ED503D" w:rsidRPr="00C16221" w:rsidRDefault="00ED503D" w:rsidP="00ED503D">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ED503D" w:rsidRPr="00C16221" w:rsidRDefault="00ED503D" w:rsidP="00ED503D">
      <w:p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u w:val="single"/>
          <w:bdr w:val="nil"/>
          <w:lang w:val="sq-AL" w:eastAsia="sq-AL"/>
        </w:rPr>
      </w:pPr>
      <w:r w:rsidRPr="00C16221">
        <w:rPr>
          <w:rFonts w:ascii="Baskerville Old Face" w:eastAsia="Arial Unicode MS" w:hAnsi="Baskerville Old Face" w:cs="Times New Roman"/>
          <w:sz w:val="28"/>
          <w:szCs w:val="28"/>
          <w:u w:val="single"/>
          <w:bdr w:val="nil"/>
          <w:lang w:val="sq-AL" w:eastAsia="sq-AL"/>
        </w:rPr>
        <w:t xml:space="preserve">Grupi i Vlerësimit </w:t>
      </w:r>
      <w:r w:rsidR="001641EA">
        <w:rPr>
          <w:rFonts w:ascii="Baskerville Old Face" w:eastAsia="Arial Unicode MS" w:hAnsi="Baskerville Old Face" w:cs="Times New Roman"/>
          <w:sz w:val="28"/>
          <w:szCs w:val="28"/>
          <w:u w:val="single"/>
          <w:bdr w:val="nil"/>
          <w:lang w:val="sq-AL" w:eastAsia="sq-AL"/>
        </w:rPr>
        <w:t>të Brendsh</w:t>
      </w:r>
      <w:r w:rsidRPr="00C16221">
        <w:rPr>
          <w:rFonts w:ascii="Baskerville Old Face" w:eastAsia="Arial Unicode MS" w:hAnsi="Baskerville Old Face" w:cs="Times New Roman"/>
          <w:sz w:val="28"/>
          <w:szCs w:val="28"/>
          <w:u w:val="single"/>
          <w:bdr w:val="nil"/>
          <w:lang w:val="sq-AL" w:eastAsia="sq-AL"/>
        </w:rPr>
        <w:t>ëm:</w:t>
      </w:r>
    </w:p>
    <w:p w:rsidR="00ED503D" w:rsidRPr="00C16221" w:rsidRDefault="00ED503D" w:rsidP="00ED503D">
      <w:p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p>
    <w:p w:rsidR="00ED503D" w:rsidRPr="00C16221" w:rsidRDefault="00ED503D" w:rsidP="00ED503D">
      <w:p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p>
    <w:p w:rsidR="00ED503D" w:rsidRDefault="001641EA" w:rsidP="00ED503D">
      <w:pPr>
        <w:pStyle w:val="ListParagraph"/>
        <w:numPr>
          <w:ilvl w:val="0"/>
          <w:numId w:val="16"/>
        </w:num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r>
        <w:rPr>
          <w:rFonts w:ascii="Baskerville Old Face" w:eastAsia="Arial Unicode MS" w:hAnsi="Baskerville Old Face" w:cs="Times New Roman"/>
          <w:sz w:val="28"/>
          <w:szCs w:val="28"/>
          <w:bdr w:val="nil"/>
          <w:lang w:val="sq-AL" w:eastAsia="sq-AL"/>
        </w:rPr>
        <w:t xml:space="preserve">  </w:t>
      </w:r>
    </w:p>
    <w:p w:rsidR="001641EA" w:rsidRDefault="001641EA" w:rsidP="00ED503D">
      <w:pPr>
        <w:pStyle w:val="ListParagraph"/>
        <w:numPr>
          <w:ilvl w:val="0"/>
          <w:numId w:val="16"/>
        </w:num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r>
        <w:rPr>
          <w:rFonts w:ascii="Baskerville Old Face" w:eastAsia="Arial Unicode MS" w:hAnsi="Baskerville Old Face" w:cs="Times New Roman"/>
          <w:sz w:val="28"/>
          <w:szCs w:val="28"/>
          <w:bdr w:val="nil"/>
          <w:lang w:val="sq-AL" w:eastAsia="sq-AL"/>
        </w:rPr>
        <w:t xml:space="preserve">   </w:t>
      </w:r>
    </w:p>
    <w:p w:rsidR="001641EA" w:rsidRDefault="001641EA" w:rsidP="00ED503D">
      <w:pPr>
        <w:pStyle w:val="ListParagraph"/>
        <w:numPr>
          <w:ilvl w:val="0"/>
          <w:numId w:val="16"/>
        </w:num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r>
        <w:rPr>
          <w:rFonts w:ascii="Baskerville Old Face" w:eastAsia="Arial Unicode MS" w:hAnsi="Baskerville Old Face" w:cs="Times New Roman"/>
          <w:sz w:val="28"/>
          <w:szCs w:val="28"/>
          <w:bdr w:val="nil"/>
          <w:lang w:val="sq-AL" w:eastAsia="sq-AL"/>
        </w:rPr>
        <w:t xml:space="preserve">   </w:t>
      </w:r>
    </w:p>
    <w:p w:rsidR="001641EA" w:rsidRDefault="001641EA" w:rsidP="00ED503D">
      <w:pPr>
        <w:pStyle w:val="ListParagraph"/>
        <w:numPr>
          <w:ilvl w:val="0"/>
          <w:numId w:val="16"/>
        </w:num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r>
        <w:rPr>
          <w:rFonts w:ascii="Baskerville Old Face" w:eastAsia="Arial Unicode MS" w:hAnsi="Baskerville Old Face" w:cs="Times New Roman"/>
          <w:sz w:val="28"/>
          <w:szCs w:val="28"/>
          <w:bdr w:val="nil"/>
          <w:lang w:val="sq-AL" w:eastAsia="sq-AL"/>
        </w:rPr>
        <w:t xml:space="preserve">  </w:t>
      </w:r>
    </w:p>
    <w:p w:rsidR="001641EA" w:rsidRPr="001641EA" w:rsidRDefault="001641EA" w:rsidP="00ED503D">
      <w:pPr>
        <w:pStyle w:val="ListParagraph"/>
        <w:numPr>
          <w:ilvl w:val="0"/>
          <w:numId w:val="16"/>
        </w:num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p>
    <w:p w:rsidR="00C15B46" w:rsidRDefault="00C15B46" w:rsidP="00A22051">
      <w:pPr>
        <w:spacing w:after="0" w:line="276" w:lineRule="auto"/>
        <w:jc w:val="center"/>
        <w:rPr>
          <w:rFonts w:ascii="Baskerville Old Face" w:hAnsi="Baskerville Old Face"/>
          <w:sz w:val="28"/>
          <w:szCs w:val="28"/>
        </w:rPr>
      </w:pPr>
    </w:p>
    <w:p w:rsidR="00C15B46" w:rsidRDefault="00C15B46" w:rsidP="00A22051">
      <w:pPr>
        <w:spacing w:after="0" w:line="276" w:lineRule="auto"/>
        <w:jc w:val="center"/>
        <w:rPr>
          <w:rFonts w:ascii="Baskerville Old Face" w:hAnsi="Baskerville Old Face"/>
          <w:sz w:val="28"/>
          <w:szCs w:val="28"/>
        </w:rPr>
      </w:pPr>
    </w:p>
    <w:p w:rsidR="00C15B46" w:rsidRDefault="00C15B46" w:rsidP="00A22051">
      <w:pPr>
        <w:spacing w:after="0" w:line="276" w:lineRule="auto"/>
        <w:jc w:val="center"/>
        <w:rPr>
          <w:rFonts w:ascii="Baskerville Old Face" w:hAnsi="Baskerville Old Face"/>
          <w:sz w:val="28"/>
          <w:szCs w:val="28"/>
        </w:rPr>
      </w:pPr>
    </w:p>
    <w:p w:rsidR="00C15B46" w:rsidRDefault="00C15B46" w:rsidP="00A22051">
      <w:pPr>
        <w:spacing w:after="0" w:line="276" w:lineRule="auto"/>
        <w:jc w:val="center"/>
        <w:rPr>
          <w:rFonts w:ascii="Baskerville Old Face" w:hAnsi="Baskerville Old Face"/>
          <w:sz w:val="28"/>
          <w:szCs w:val="28"/>
        </w:rPr>
      </w:pPr>
    </w:p>
    <w:p w:rsidR="00C15B46" w:rsidRDefault="00C15B46" w:rsidP="00A22051">
      <w:pPr>
        <w:spacing w:after="0" w:line="276" w:lineRule="auto"/>
        <w:jc w:val="center"/>
        <w:rPr>
          <w:rFonts w:ascii="Baskerville Old Face" w:hAnsi="Baskerville Old Face"/>
          <w:sz w:val="28"/>
          <w:szCs w:val="28"/>
        </w:rPr>
      </w:pPr>
    </w:p>
    <w:p w:rsidR="00A22051" w:rsidRDefault="00A22051" w:rsidP="00A22051">
      <w:pPr>
        <w:spacing w:after="0" w:line="276" w:lineRule="auto"/>
        <w:jc w:val="center"/>
        <w:rPr>
          <w:rFonts w:ascii="Baskerville Old Face" w:hAnsi="Baskerville Old Face"/>
          <w:sz w:val="28"/>
          <w:szCs w:val="28"/>
        </w:rPr>
      </w:pPr>
      <w:r>
        <w:rPr>
          <w:rFonts w:ascii="Baskerville Old Face" w:hAnsi="Baskerville Old Face"/>
          <w:sz w:val="28"/>
          <w:szCs w:val="28"/>
        </w:rPr>
        <w:t>Muaji/Viti</w:t>
      </w:r>
    </w:p>
    <w:p w:rsidR="00A22051" w:rsidRDefault="00A22051" w:rsidP="00A22051">
      <w:pPr>
        <w:spacing w:after="0" w:line="276" w:lineRule="auto"/>
        <w:jc w:val="center"/>
        <w:rPr>
          <w:rFonts w:ascii="Baskerville Old Face" w:hAnsi="Baskerville Old Face"/>
          <w:sz w:val="28"/>
          <w:szCs w:val="28"/>
        </w:rPr>
      </w:pPr>
    </w:p>
    <w:p w:rsidR="00FE6EAD" w:rsidRDefault="00FE6EAD" w:rsidP="004A435D">
      <w:pPr>
        <w:rPr>
          <w:rFonts w:ascii="Times New Roman" w:hAnsi="Times New Roman" w:cs="Times New Roman"/>
          <w:b/>
          <w:sz w:val="28"/>
          <w:szCs w:val="28"/>
        </w:rPr>
      </w:pPr>
    </w:p>
    <w:p w:rsidR="0059370E" w:rsidRDefault="0059370E" w:rsidP="004A435D">
      <w:pPr>
        <w:rPr>
          <w:rFonts w:ascii="Times New Roman" w:hAnsi="Times New Roman" w:cs="Times New Roman"/>
          <w:b/>
          <w:sz w:val="28"/>
          <w:szCs w:val="28"/>
        </w:rPr>
      </w:pPr>
    </w:p>
    <w:p w:rsidR="006A631F" w:rsidRPr="00C7643E" w:rsidRDefault="00C15B46" w:rsidP="006A631F">
      <w:pPr>
        <w:spacing w:line="276" w:lineRule="auto"/>
        <w:jc w:val="both"/>
        <w:rPr>
          <w:rFonts w:ascii="Times New Roman" w:eastAsia="Times New Roman" w:hAnsi="Times New Roman"/>
          <w:b/>
          <w:sz w:val="28"/>
          <w:szCs w:val="28"/>
        </w:rPr>
      </w:pPr>
      <w:r>
        <w:rPr>
          <w:rFonts w:ascii="Times New Roman" w:eastAsia="Times New Roman" w:hAnsi="Times New Roman"/>
          <w:b/>
          <w:sz w:val="28"/>
          <w:szCs w:val="28"/>
        </w:rPr>
        <w:lastRenderedPageBreak/>
        <w:t>PËRMBLEDHJE E TË</w:t>
      </w:r>
      <w:r w:rsidR="006A631F" w:rsidRPr="00C7643E">
        <w:rPr>
          <w:rFonts w:ascii="Times New Roman" w:eastAsia="Times New Roman" w:hAnsi="Times New Roman"/>
          <w:b/>
          <w:sz w:val="28"/>
          <w:szCs w:val="28"/>
        </w:rPr>
        <w:t xml:space="preserve"> DHËNAVE PËR PROGRAMIN </w:t>
      </w:r>
      <w:r w:rsidR="007B22D4">
        <w:rPr>
          <w:rFonts w:ascii="Times New Roman" w:eastAsia="Times New Roman" w:hAnsi="Times New Roman"/>
          <w:b/>
          <w:sz w:val="28"/>
          <w:szCs w:val="28"/>
        </w:rPr>
        <w:t>NË PROCES TË VLERËSIMIT TË BRENDSH</w:t>
      </w:r>
      <w:r w:rsidR="006A631F" w:rsidRPr="00C7643E">
        <w:rPr>
          <w:rFonts w:ascii="Times New Roman" w:eastAsia="Times New Roman" w:hAnsi="Times New Roman"/>
          <w:b/>
          <w:sz w:val="28"/>
          <w:szCs w:val="28"/>
        </w:rPr>
        <w:t>ËM</w:t>
      </w:r>
    </w:p>
    <w:p w:rsidR="006A631F" w:rsidRDefault="006A631F" w:rsidP="006A631F">
      <w:pPr>
        <w:spacing w:line="276" w:lineRule="auto"/>
        <w:jc w:val="both"/>
        <w:rPr>
          <w:rFonts w:ascii="Times New Roman" w:hAnsi="Times New Roman" w:cs="Times New Roman"/>
          <w:b/>
          <w:sz w:val="28"/>
          <w:szCs w:val="28"/>
        </w:rPr>
      </w:pPr>
      <w:r w:rsidRPr="00C7643E">
        <w:rPr>
          <w:rFonts w:ascii="Times New Roman" w:eastAsia="Times New Roman" w:hAnsi="Times New Roman"/>
          <w:b/>
          <w:sz w:val="28"/>
          <w:szCs w:val="28"/>
        </w:rPr>
        <w:t>Përshkrim përmbledhës; (200 -400 fjalë)</w:t>
      </w:r>
    </w:p>
    <w:p w:rsidR="00447265" w:rsidRDefault="00447265" w:rsidP="00C1352C">
      <w:pPr>
        <w:jc w:val="both"/>
        <w:rPr>
          <w:rFonts w:ascii="Times New Roman" w:hAnsi="Times New Roman" w:cs="Times New Roman"/>
          <w:b/>
          <w:sz w:val="28"/>
          <w:szCs w:val="28"/>
        </w:rPr>
      </w:pPr>
    </w:p>
    <w:p w:rsidR="006A631F" w:rsidRPr="001649CA" w:rsidRDefault="00C1352C" w:rsidP="006A631F">
      <w:pPr>
        <w:spacing w:line="276" w:lineRule="auto"/>
        <w:jc w:val="both"/>
        <w:rPr>
          <w:rFonts w:ascii="Times New Roman" w:hAnsi="Times New Roman" w:cs="Times New Roman"/>
          <w:b/>
          <w:sz w:val="28"/>
          <w:szCs w:val="28"/>
        </w:rPr>
      </w:pPr>
      <w:r>
        <w:rPr>
          <w:rFonts w:ascii="Times New Roman" w:hAnsi="Times New Roman" w:cs="Times New Roman"/>
          <w:b/>
          <w:sz w:val="28"/>
          <w:szCs w:val="28"/>
        </w:rPr>
        <w:br w:type="page"/>
      </w:r>
      <w:r w:rsidR="006A631F" w:rsidRPr="001649CA">
        <w:rPr>
          <w:rFonts w:ascii="Times New Roman" w:hAnsi="Times New Roman" w:cs="Times New Roman"/>
          <w:b/>
          <w:sz w:val="28"/>
          <w:szCs w:val="28"/>
        </w:rPr>
        <w:lastRenderedPageBreak/>
        <w:t>PËRSHKRIMI I</w:t>
      </w:r>
      <w:r w:rsidR="007B22D4">
        <w:rPr>
          <w:rFonts w:ascii="Times New Roman" w:hAnsi="Times New Roman" w:cs="Times New Roman"/>
          <w:b/>
          <w:sz w:val="28"/>
          <w:szCs w:val="28"/>
        </w:rPr>
        <w:t xml:space="preserve"> PROCESIT TË VLERËSIMIT TË BRENDSH</w:t>
      </w:r>
      <w:bookmarkStart w:id="2" w:name="_GoBack"/>
      <w:bookmarkEnd w:id="2"/>
      <w:r w:rsidR="006A631F" w:rsidRPr="001649CA">
        <w:rPr>
          <w:rFonts w:ascii="Times New Roman" w:hAnsi="Times New Roman" w:cs="Times New Roman"/>
          <w:b/>
          <w:sz w:val="28"/>
          <w:szCs w:val="28"/>
        </w:rPr>
        <w:t xml:space="preserve">ËM; </w:t>
      </w:r>
    </w:p>
    <w:p w:rsidR="006A631F" w:rsidRDefault="006A631F" w:rsidP="006A631F">
      <w:pPr>
        <w:spacing w:line="276" w:lineRule="auto"/>
        <w:jc w:val="both"/>
        <w:rPr>
          <w:rFonts w:ascii="Times New Roman" w:hAnsi="Times New Roman" w:cs="Times New Roman"/>
          <w:b/>
          <w:sz w:val="28"/>
          <w:szCs w:val="28"/>
        </w:rPr>
      </w:pPr>
      <w:r w:rsidRPr="001649CA">
        <w:rPr>
          <w:rFonts w:ascii="Times New Roman" w:hAnsi="Times New Roman" w:cs="Times New Roman"/>
          <w:b/>
          <w:sz w:val="28"/>
          <w:szCs w:val="28"/>
        </w:rPr>
        <w:t>Përshkrim përmbledhës; (200-400 fjalë)</w:t>
      </w:r>
    </w:p>
    <w:p w:rsidR="00C1352C" w:rsidRDefault="00C1352C" w:rsidP="00FB3CB9">
      <w:pPr>
        <w:rPr>
          <w:rFonts w:ascii="Times New Roman" w:hAnsi="Times New Roman" w:cs="Times New Roman"/>
          <w:b/>
          <w:sz w:val="28"/>
          <w:szCs w:val="28"/>
        </w:rPr>
      </w:pPr>
    </w:p>
    <w:p w:rsidR="00A25978" w:rsidRDefault="00A25978" w:rsidP="00C1352C">
      <w:pPr>
        <w:spacing w:line="276" w:lineRule="auto"/>
        <w:jc w:val="both"/>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C1352C" w:rsidRDefault="00C1352C" w:rsidP="00C1352C">
      <w:pPr>
        <w:rPr>
          <w:rFonts w:ascii="Times New Roman" w:hAnsi="Times New Roman" w:cs="Times New Roman"/>
          <w:b/>
          <w:sz w:val="28"/>
          <w:szCs w:val="28"/>
        </w:rPr>
      </w:pPr>
      <w:r>
        <w:rPr>
          <w:rFonts w:ascii="Times New Roman" w:hAnsi="Times New Roman" w:cs="Times New Roman"/>
          <w:b/>
          <w:sz w:val="28"/>
          <w:szCs w:val="28"/>
        </w:rPr>
        <w:br w:type="page"/>
      </w:r>
    </w:p>
    <w:p w:rsidR="00E80ABB" w:rsidRPr="00CF70F3" w:rsidRDefault="00E80ABB" w:rsidP="00E80ABB">
      <w:pPr>
        <w:spacing w:after="120" w:line="276" w:lineRule="auto"/>
        <w:rPr>
          <w:rFonts w:ascii="Times New Roman" w:eastAsia="Times New Roman" w:hAnsi="Times New Roman"/>
          <w:b/>
          <w:sz w:val="28"/>
          <w:szCs w:val="28"/>
        </w:rPr>
      </w:pPr>
      <w:r w:rsidRPr="00CF70F3">
        <w:rPr>
          <w:rFonts w:ascii="Times New Roman" w:eastAsia="Times New Roman" w:hAnsi="Times New Roman"/>
          <w:b/>
          <w:sz w:val="28"/>
          <w:szCs w:val="28"/>
        </w:rPr>
        <w:lastRenderedPageBreak/>
        <w:t>SHKALLA E PERMBUSHJES SË REK</w:t>
      </w:r>
      <w:r>
        <w:rPr>
          <w:rFonts w:ascii="Times New Roman" w:eastAsia="Times New Roman" w:hAnsi="Times New Roman"/>
          <w:b/>
          <w:sz w:val="28"/>
          <w:szCs w:val="28"/>
        </w:rPr>
        <w:t>OMANDIMEVE NGA AKREDITIMI I FUNDIT</w:t>
      </w:r>
    </w:p>
    <w:p w:rsidR="00E80ABB" w:rsidRPr="00CF70F3" w:rsidRDefault="00E80ABB" w:rsidP="00E80ABB">
      <w:pPr>
        <w:spacing w:after="120" w:line="276" w:lineRule="auto"/>
        <w:rPr>
          <w:rFonts w:ascii="Times New Roman" w:eastAsia="Times New Roman" w:hAnsi="Times New Roman"/>
          <w:b/>
          <w:sz w:val="24"/>
          <w:szCs w:val="28"/>
        </w:rPr>
      </w:pPr>
    </w:p>
    <w:p w:rsidR="00E80ABB" w:rsidRPr="00CF70F3" w:rsidRDefault="00E80ABB" w:rsidP="00E80ABB">
      <w:pPr>
        <w:spacing w:after="120" w:line="276" w:lineRule="auto"/>
        <w:rPr>
          <w:rFonts w:ascii="Times New Roman" w:eastAsia="Times New Roman" w:hAnsi="Times New Roman"/>
          <w:b/>
          <w:sz w:val="24"/>
          <w:szCs w:val="28"/>
        </w:rPr>
      </w:pPr>
      <w:r w:rsidRPr="00CF70F3">
        <w:rPr>
          <w:rFonts w:ascii="Times New Roman" w:eastAsia="Times New Roman" w:hAnsi="Times New Roman"/>
          <w:b/>
          <w:sz w:val="24"/>
          <w:szCs w:val="28"/>
        </w:rPr>
        <w:t>I.</w:t>
      </w:r>
      <w:r w:rsidRPr="00CF70F3">
        <w:rPr>
          <w:rFonts w:ascii="Times New Roman" w:eastAsia="Times New Roman" w:hAnsi="Times New Roman"/>
          <w:b/>
          <w:sz w:val="24"/>
          <w:szCs w:val="28"/>
        </w:rPr>
        <w:tab/>
        <w:t>Rekomandimet e Bordit të Akreditimit mbështetur në Vendimin Nr., datë janë:</w:t>
      </w:r>
    </w:p>
    <w:p w:rsidR="00E80ABB" w:rsidRPr="00073AD9" w:rsidRDefault="00E80ABB" w:rsidP="00E80ABB">
      <w:pPr>
        <w:spacing w:after="120" w:line="276" w:lineRule="auto"/>
        <w:rPr>
          <w:rFonts w:ascii="Times New Roman" w:eastAsia="Times New Roman" w:hAnsi="Times New Roman"/>
          <w:b/>
          <w:sz w:val="24"/>
          <w:szCs w:val="28"/>
        </w:rPr>
      </w:pPr>
      <w:r w:rsidRPr="00CF70F3">
        <w:rPr>
          <w:rFonts w:ascii="Times New Roman" w:eastAsia="Times New Roman" w:hAnsi="Times New Roman"/>
          <w:b/>
          <w:sz w:val="24"/>
          <w:szCs w:val="28"/>
        </w:rPr>
        <w:t>II.</w:t>
      </w:r>
      <w:r w:rsidRPr="00CF70F3">
        <w:rPr>
          <w:rFonts w:ascii="Times New Roman" w:eastAsia="Times New Roman" w:hAnsi="Times New Roman"/>
          <w:b/>
          <w:sz w:val="24"/>
          <w:szCs w:val="28"/>
        </w:rPr>
        <w:tab/>
        <w:t>Plotësimi i rekomandimeve nga Institucioni</w:t>
      </w:r>
    </w:p>
    <w:p w:rsidR="00A26131" w:rsidRDefault="00A26131" w:rsidP="00C1352C">
      <w:pPr>
        <w:rPr>
          <w:rFonts w:ascii="Times New Roman" w:hAnsi="Times New Roman" w:cs="Times New Roman"/>
          <w:b/>
          <w:sz w:val="28"/>
          <w:szCs w:val="28"/>
        </w:rPr>
      </w:pPr>
    </w:p>
    <w:p w:rsidR="00A26131" w:rsidRDefault="00A26131" w:rsidP="00C1352C">
      <w:pPr>
        <w:rPr>
          <w:rFonts w:ascii="Times New Roman" w:hAnsi="Times New Roman" w:cs="Times New Roman"/>
          <w:b/>
          <w:sz w:val="28"/>
          <w:szCs w:val="28"/>
        </w:rPr>
      </w:pPr>
    </w:p>
    <w:p w:rsidR="00A26131" w:rsidRDefault="00A26131" w:rsidP="00C1352C">
      <w:pPr>
        <w:rPr>
          <w:rFonts w:ascii="Times New Roman" w:hAnsi="Times New Roman" w:cs="Times New Roman"/>
          <w:b/>
          <w:sz w:val="28"/>
          <w:szCs w:val="28"/>
        </w:rPr>
      </w:pPr>
    </w:p>
    <w:p w:rsidR="00A26131" w:rsidRDefault="00A26131" w:rsidP="00C1352C">
      <w:pPr>
        <w:rPr>
          <w:rFonts w:ascii="Times New Roman" w:hAnsi="Times New Roman" w:cs="Times New Roman"/>
          <w:b/>
          <w:sz w:val="28"/>
          <w:szCs w:val="28"/>
        </w:rPr>
      </w:pPr>
    </w:p>
    <w:p w:rsidR="00A26131" w:rsidRDefault="00A26131" w:rsidP="00C1352C">
      <w:pPr>
        <w:rPr>
          <w:rFonts w:ascii="Times New Roman" w:hAnsi="Times New Roman" w:cs="Times New Roman"/>
          <w:b/>
          <w:sz w:val="28"/>
          <w:szCs w:val="28"/>
        </w:rPr>
      </w:pPr>
    </w:p>
    <w:p w:rsidR="00A26131" w:rsidRDefault="00A26131" w:rsidP="00C1352C">
      <w:pPr>
        <w:rPr>
          <w:rFonts w:ascii="Times New Roman" w:hAnsi="Times New Roman" w:cs="Times New Roman"/>
          <w:b/>
          <w:sz w:val="28"/>
          <w:szCs w:val="28"/>
        </w:rPr>
      </w:pPr>
    </w:p>
    <w:p w:rsidR="00A26131" w:rsidRDefault="00A26131" w:rsidP="00C1352C">
      <w:pPr>
        <w:rPr>
          <w:rFonts w:ascii="Times New Roman" w:hAnsi="Times New Roman" w:cs="Times New Roman"/>
          <w:b/>
          <w:sz w:val="28"/>
          <w:szCs w:val="28"/>
        </w:rPr>
      </w:pPr>
    </w:p>
    <w:p w:rsidR="00A26131" w:rsidRDefault="00A26131" w:rsidP="00C1352C">
      <w:pPr>
        <w:rPr>
          <w:rFonts w:ascii="Times New Roman" w:hAnsi="Times New Roman" w:cs="Times New Roman"/>
          <w:b/>
          <w:sz w:val="28"/>
          <w:szCs w:val="28"/>
        </w:rPr>
      </w:pPr>
    </w:p>
    <w:p w:rsidR="00A26131" w:rsidRDefault="00A26131" w:rsidP="00C1352C">
      <w:pPr>
        <w:rPr>
          <w:rFonts w:ascii="Times New Roman" w:hAnsi="Times New Roman" w:cs="Times New Roman"/>
          <w:b/>
          <w:sz w:val="28"/>
          <w:szCs w:val="28"/>
        </w:rPr>
      </w:pPr>
    </w:p>
    <w:p w:rsidR="00A26131" w:rsidRDefault="00A26131" w:rsidP="00C1352C">
      <w:pPr>
        <w:rPr>
          <w:rFonts w:ascii="Times New Roman" w:hAnsi="Times New Roman" w:cs="Times New Roman"/>
          <w:b/>
          <w:sz w:val="28"/>
          <w:szCs w:val="28"/>
        </w:rPr>
      </w:pPr>
    </w:p>
    <w:p w:rsidR="00A26131" w:rsidRDefault="00A26131" w:rsidP="00C1352C">
      <w:pPr>
        <w:rPr>
          <w:rFonts w:ascii="Times New Roman" w:hAnsi="Times New Roman" w:cs="Times New Roman"/>
          <w:b/>
          <w:sz w:val="28"/>
          <w:szCs w:val="28"/>
        </w:rPr>
      </w:pPr>
    </w:p>
    <w:p w:rsidR="00A26131" w:rsidRDefault="00A26131" w:rsidP="00C1352C">
      <w:pPr>
        <w:rPr>
          <w:rFonts w:ascii="Times New Roman" w:hAnsi="Times New Roman" w:cs="Times New Roman"/>
          <w:b/>
          <w:sz w:val="28"/>
          <w:szCs w:val="28"/>
        </w:rPr>
      </w:pPr>
    </w:p>
    <w:p w:rsidR="00A26131" w:rsidRDefault="00A26131" w:rsidP="00C1352C">
      <w:pPr>
        <w:rPr>
          <w:rFonts w:ascii="Times New Roman" w:hAnsi="Times New Roman" w:cs="Times New Roman"/>
          <w:b/>
          <w:sz w:val="28"/>
          <w:szCs w:val="28"/>
        </w:rPr>
      </w:pPr>
    </w:p>
    <w:p w:rsidR="00A26131" w:rsidRDefault="00A26131" w:rsidP="00C1352C">
      <w:pPr>
        <w:rPr>
          <w:rFonts w:ascii="Times New Roman" w:hAnsi="Times New Roman" w:cs="Times New Roman"/>
          <w:b/>
          <w:sz w:val="28"/>
          <w:szCs w:val="28"/>
        </w:rPr>
      </w:pPr>
    </w:p>
    <w:p w:rsidR="00A26131" w:rsidRDefault="00A26131" w:rsidP="00C1352C">
      <w:pPr>
        <w:rPr>
          <w:rFonts w:ascii="Times New Roman" w:hAnsi="Times New Roman" w:cs="Times New Roman"/>
          <w:b/>
          <w:sz w:val="28"/>
          <w:szCs w:val="28"/>
        </w:rPr>
      </w:pPr>
    </w:p>
    <w:p w:rsidR="00A26131" w:rsidRDefault="00A26131" w:rsidP="00C1352C">
      <w:pPr>
        <w:rPr>
          <w:rFonts w:ascii="Times New Roman" w:hAnsi="Times New Roman" w:cs="Times New Roman"/>
          <w:b/>
          <w:sz w:val="28"/>
          <w:szCs w:val="28"/>
        </w:rPr>
      </w:pPr>
    </w:p>
    <w:p w:rsidR="00A26131" w:rsidRDefault="00A26131" w:rsidP="00C1352C">
      <w:pPr>
        <w:rPr>
          <w:rFonts w:ascii="Times New Roman" w:hAnsi="Times New Roman" w:cs="Times New Roman"/>
          <w:b/>
          <w:sz w:val="28"/>
          <w:szCs w:val="28"/>
        </w:rPr>
      </w:pPr>
    </w:p>
    <w:p w:rsidR="00A26131" w:rsidRDefault="00A26131" w:rsidP="00C1352C">
      <w:pPr>
        <w:rPr>
          <w:rFonts w:ascii="Times New Roman" w:hAnsi="Times New Roman" w:cs="Times New Roman"/>
          <w:b/>
          <w:sz w:val="28"/>
          <w:szCs w:val="28"/>
        </w:rPr>
      </w:pPr>
    </w:p>
    <w:p w:rsidR="00A26131" w:rsidRDefault="00A26131" w:rsidP="00C1352C">
      <w:pPr>
        <w:rPr>
          <w:rFonts w:ascii="Times New Roman" w:hAnsi="Times New Roman" w:cs="Times New Roman"/>
          <w:b/>
          <w:sz w:val="28"/>
          <w:szCs w:val="28"/>
        </w:rPr>
      </w:pPr>
    </w:p>
    <w:p w:rsidR="00A26131" w:rsidRDefault="00A26131" w:rsidP="00C1352C">
      <w:pPr>
        <w:rPr>
          <w:rFonts w:ascii="Times New Roman" w:hAnsi="Times New Roman" w:cs="Times New Roman"/>
          <w:b/>
          <w:sz w:val="28"/>
          <w:szCs w:val="28"/>
        </w:rPr>
      </w:pPr>
    </w:p>
    <w:p w:rsidR="00A26131" w:rsidRDefault="00A26131" w:rsidP="00C1352C">
      <w:pPr>
        <w:rPr>
          <w:rFonts w:ascii="Times New Roman" w:hAnsi="Times New Roman" w:cs="Times New Roman"/>
          <w:b/>
          <w:sz w:val="28"/>
          <w:szCs w:val="28"/>
        </w:rPr>
      </w:pPr>
    </w:p>
    <w:p w:rsidR="00A26131" w:rsidRDefault="00A26131" w:rsidP="00C1352C">
      <w:pPr>
        <w:rPr>
          <w:rFonts w:ascii="Times New Roman" w:hAnsi="Times New Roman" w:cs="Times New Roman"/>
          <w:b/>
          <w:sz w:val="28"/>
          <w:szCs w:val="28"/>
        </w:rPr>
      </w:pPr>
    </w:p>
    <w:p w:rsidR="00C1352C" w:rsidRDefault="00C1352C" w:rsidP="002A5010">
      <w:pPr>
        <w:spacing w:line="276" w:lineRule="auto"/>
        <w:jc w:val="both"/>
        <w:rPr>
          <w:rFonts w:ascii="Times New Roman" w:hAnsi="Times New Roman" w:cs="Times New Roman"/>
          <w:b/>
          <w:sz w:val="28"/>
          <w:szCs w:val="28"/>
          <w:u w:val="single"/>
        </w:rPr>
      </w:pPr>
      <w:r w:rsidRPr="00FF0ECE">
        <w:rPr>
          <w:rFonts w:ascii="Times New Roman" w:hAnsi="Times New Roman" w:cs="Times New Roman"/>
          <w:b/>
          <w:sz w:val="28"/>
          <w:szCs w:val="28"/>
          <w:u w:val="single"/>
        </w:rPr>
        <w:lastRenderedPageBreak/>
        <w:t>Vler</w:t>
      </w:r>
      <w:r>
        <w:rPr>
          <w:rFonts w:ascii="Times New Roman" w:hAnsi="Times New Roman" w:cs="Times New Roman"/>
          <w:b/>
          <w:sz w:val="28"/>
          <w:szCs w:val="28"/>
          <w:u w:val="single"/>
        </w:rPr>
        <w:t>ë</w:t>
      </w:r>
      <w:r w:rsidRPr="00FF0ECE">
        <w:rPr>
          <w:rFonts w:ascii="Times New Roman" w:hAnsi="Times New Roman" w:cs="Times New Roman"/>
          <w:b/>
          <w:sz w:val="28"/>
          <w:szCs w:val="28"/>
          <w:u w:val="single"/>
        </w:rPr>
        <w:t xml:space="preserve">simi </w:t>
      </w:r>
      <w:r w:rsidR="006210CF">
        <w:rPr>
          <w:rFonts w:ascii="Times New Roman" w:hAnsi="Times New Roman" w:cs="Times New Roman"/>
          <w:b/>
          <w:sz w:val="28"/>
          <w:szCs w:val="28"/>
          <w:u w:val="single"/>
        </w:rPr>
        <w:t>i</w:t>
      </w:r>
      <w:r w:rsidRPr="00FF0ECE">
        <w:rPr>
          <w:rFonts w:ascii="Times New Roman" w:hAnsi="Times New Roman" w:cs="Times New Roman"/>
          <w:b/>
          <w:sz w:val="28"/>
          <w:szCs w:val="28"/>
          <w:u w:val="single"/>
        </w:rPr>
        <w:t xml:space="preserve"> Programit t</w:t>
      </w:r>
      <w:r>
        <w:rPr>
          <w:rFonts w:ascii="Times New Roman" w:hAnsi="Times New Roman" w:cs="Times New Roman"/>
          <w:b/>
          <w:sz w:val="28"/>
          <w:szCs w:val="28"/>
          <w:u w:val="single"/>
        </w:rPr>
        <w:t>ë</w:t>
      </w:r>
      <w:r w:rsidRPr="00FF0ECE">
        <w:rPr>
          <w:rFonts w:ascii="Times New Roman" w:hAnsi="Times New Roman" w:cs="Times New Roman"/>
          <w:b/>
          <w:sz w:val="28"/>
          <w:szCs w:val="28"/>
          <w:u w:val="single"/>
        </w:rPr>
        <w:t xml:space="preserve"> Studimit </w:t>
      </w:r>
      <w:r>
        <w:rPr>
          <w:rFonts w:ascii="Times New Roman" w:hAnsi="Times New Roman" w:cs="Times New Roman"/>
          <w:b/>
          <w:sz w:val="28"/>
          <w:szCs w:val="28"/>
          <w:u w:val="single"/>
        </w:rPr>
        <w:t xml:space="preserve">të Ciklit të </w:t>
      </w:r>
      <w:r w:rsidR="00165982">
        <w:rPr>
          <w:rFonts w:ascii="Times New Roman" w:hAnsi="Times New Roman" w:cs="Times New Roman"/>
          <w:b/>
          <w:sz w:val="28"/>
          <w:szCs w:val="28"/>
          <w:u w:val="single"/>
        </w:rPr>
        <w:t>Tre</w:t>
      </w:r>
      <w:r w:rsidR="00883B80">
        <w:rPr>
          <w:rFonts w:ascii="Times New Roman" w:hAnsi="Times New Roman" w:cs="Times New Roman"/>
          <w:b/>
          <w:sz w:val="28"/>
          <w:szCs w:val="28"/>
          <w:u w:val="single"/>
        </w:rPr>
        <w:t>t</w:t>
      </w:r>
      <w:r>
        <w:rPr>
          <w:rFonts w:ascii="Times New Roman" w:hAnsi="Times New Roman" w:cs="Times New Roman"/>
          <w:b/>
          <w:sz w:val="28"/>
          <w:szCs w:val="28"/>
          <w:u w:val="single"/>
        </w:rPr>
        <w:t xml:space="preserve">ë </w:t>
      </w:r>
      <w:r w:rsidR="00165982">
        <w:rPr>
          <w:rFonts w:ascii="Times New Roman" w:hAnsi="Times New Roman" w:cs="Times New Roman"/>
          <w:b/>
          <w:color w:val="FF0000"/>
          <w:sz w:val="28"/>
          <w:szCs w:val="28"/>
          <w:u w:val="single"/>
        </w:rPr>
        <w:t xml:space="preserve">Specializime Afatgjata </w:t>
      </w:r>
      <w:r w:rsidR="002A5010" w:rsidRPr="002A5010">
        <w:rPr>
          <w:rFonts w:ascii="Times New Roman" w:hAnsi="Times New Roman" w:cs="Times New Roman"/>
          <w:b/>
          <w:sz w:val="28"/>
          <w:szCs w:val="28"/>
          <w:u w:val="single"/>
        </w:rPr>
        <w:t>në “</w:t>
      </w:r>
      <w:r w:rsidR="002A5010" w:rsidRPr="002A5010">
        <w:rPr>
          <w:rFonts w:ascii="Times New Roman" w:hAnsi="Times New Roman" w:cs="Times New Roman"/>
          <w:b/>
          <w:color w:val="FF0000"/>
          <w:sz w:val="28"/>
          <w:szCs w:val="28"/>
          <w:u w:val="single"/>
        </w:rPr>
        <w:t>…</w:t>
      </w:r>
      <w:r w:rsidR="002A5010" w:rsidRPr="002A5010">
        <w:rPr>
          <w:rFonts w:ascii="Times New Roman" w:hAnsi="Times New Roman" w:cs="Times New Roman"/>
          <w:b/>
          <w:sz w:val="28"/>
          <w:szCs w:val="28"/>
          <w:u w:val="single"/>
        </w:rPr>
        <w:t>”</w:t>
      </w:r>
    </w:p>
    <w:p w:rsidR="00C1352C" w:rsidRPr="00FF0ECE" w:rsidRDefault="00C1352C" w:rsidP="00C1352C">
      <w:pPr>
        <w:spacing w:line="276" w:lineRule="auto"/>
        <w:jc w:val="both"/>
        <w:rPr>
          <w:rFonts w:ascii="Times New Roman" w:hAnsi="Times New Roman" w:cs="Times New Roman"/>
          <w:b/>
          <w:sz w:val="28"/>
          <w:szCs w:val="28"/>
          <w:u w:val="single"/>
        </w:rPr>
      </w:pPr>
    </w:p>
    <w:p w:rsidR="00C1352C" w:rsidRPr="00FF0ECE" w:rsidRDefault="006C53CF" w:rsidP="00C1352C">
      <w:pPr>
        <w:pStyle w:val="ListParagraph"/>
        <w:numPr>
          <w:ilvl w:val="0"/>
          <w:numId w:val="2"/>
        </w:numPr>
        <w:spacing w:line="276" w:lineRule="auto"/>
        <w:ind w:left="540" w:hanging="450"/>
        <w:jc w:val="both"/>
        <w:rPr>
          <w:rFonts w:ascii="Times New Roman" w:hAnsi="Times New Roman" w:cs="Times New Roman"/>
          <w:b/>
          <w:sz w:val="28"/>
          <w:szCs w:val="28"/>
        </w:rPr>
      </w:pPr>
      <w:r w:rsidRPr="006C53CF">
        <w:rPr>
          <w:rFonts w:ascii="Times New Roman" w:eastAsia="Times New Roman" w:hAnsi="Times New Roman" w:cs="Times New Roman"/>
          <w:b/>
          <w:bCs/>
          <w:sz w:val="24"/>
          <w:szCs w:val="24"/>
          <w:lang w:val="sq-AL"/>
        </w:rPr>
        <w:t>KUADRI I PËRGJITHSHËM I PROGRAMIT SPECIALIZIM AFATGJATË</w:t>
      </w:r>
    </w:p>
    <w:tbl>
      <w:tblPr>
        <w:tblStyle w:val="TableGrid"/>
        <w:tblW w:w="9720" w:type="dxa"/>
        <w:tblInd w:w="-185" w:type="dxa"/>
        <w:tblLook w:val="04A0" w:firstRow="1" w:lastRow="0" w:firstColumn="1" w:lastColumn="0" w:noHBand="0" w:noVBand="1"/>
      </w:tblPr>
      <w:tblGrid>
        <w:gridCol w:w="3072"/>
        <w:gridCol w:w="1518"/>
        <w:gridCol w:w="1530"/>
        <w:gridCol w:w="1710"/>
        <w:gridCol w:w="1890"/>
      </w:tblGrid>
      <w:tr w:rsidR="00C1352C" w:rsidRPr="001C0E87" w:rsidTr="006537E0">
        <w:tc>
          <w:tcPr>
            <w:tcW w:w="9720" w:type="dxa"/>
            <w:gridSpan w:val="5"/>
            <w:shd w:val="clear" w:color="auto" w:fill="F7CAAC" w:themeFill="accent2" w:themeFillTint="66"/>
          </w:tcPr>
          <w:p w:rsidR="00C1352C" w:rsidRPr="001C0E87" w:rsidRDefault="00C1352C" w:rsidP="00243BA4">
            <w:pPr>
              <w:spacing w:line="276" w:lineRule="auto"/>
              <w:jc w:val="both"/>
              <w:rPr>
                <w:rFonts w:ascii="Times New Roman" w:eastAsia="Times New Roman" w:hAnsi="Times New Roman" w:cs="Times New Roman"/>
                <w:b/>
                <w:bCs/>
                <w:lang w:val="sq-AL"/>
              </w:rPr>
            </w:pPr>
            <w:r w:rsidRPr="001C0E87">
              <w:rPr>
                <w:rFonts w:ascii="Times New Roman" w:eastAsia="Times New Roman" w:hAnsi="Times New Roman" w:cs="Times New Roman"/>
                <w:b/>
                <w:bCs/>
                <w:lang w:val="sq-AL"/>
              </w:rPr>
              <w:t xml:space="preserve">Standardi I.1 </w:t>
            </w:r>
          </w:p>
          <w:p w:rsidR="00C1352C" w:rsidRPr="001C0E87" w:rsidRDefault="006C53CF" w:rsidP="00243BA4">
            <w:pPr>
              <w:spacing w:line="276" w:lineRule="auto"/>
              <w:jc w:val="both"/>
              <w:rPr>
                <w:rFonts w:ascii="Times New Roman" w:hAnsi="Times New Roman" w:cs="Times New Roman"/>
                <w:b/>
              </w:rPr>
            </w:pPr>
            <w:r w:rsidRPr="006C53CF">
              <w:rPr>
                <w:rFonts w:ascii="Times New Roman" w:hAnsi="Times New Roman" w:cs="Times New Roman"/>
                <w:b/>
                <w:lang w:val="sq-AL"/>
              </w:rPr>
              <w:t>Programi i studimit i ciklit të tretë Specializim afatgjatë në fushën e mjekësisë ofrohet nga institucione të arsimit të lartë që përmbushin kriteret ligjore në fuqi në Republikën e Shqipërisë</w:t>
            </w:r>
            <w:r>
              <w:rPr>
                <w:rFonts w:ascii="Times New Roman" w:hAnsi="Times New Roman" w:cs="Times New Roman"/>
                <w:b/>
                <w:lang w:val="sq-AL"/>
              </w:rPr>
              <w:t>.</w:t>
            </w:r>
          </w:p>
        </w:tc>
      </w:tr>
      <w:tr w:rsidR="00C1352C" w:rsidRPr="001C0E87" w:rsidTr="003847F8">
        <w:trPr>
          <w:trHeight w:val="350"/>
        </w:trPr>
        <w:tc>
          <w:tcPr>
            <w:tcW w:w="3072" w:type="dxa"/>
            <w:shd w:val="clear" w:color="auto" w:fill="C5E0B3" w:themeFill="accent6" w:themeFillTint="66"/>
          </w:tcPr>
          <w:p w:rsidR="00C1352C" w:rsidRPr="001C0E87" w:rsidRDefault="00C1352C" w:rsidP="00243BA4">
            <w:pPr>
              <w:spacing w:line="276" w:lineRule="auto"/>
              <w:jc w:val="both"/>
              <w:rPr>
                <w:rFonts w:ascii="Times New Roman" w:eastAsia="Times New Roman" w:hAnsi="Times New Roman" w:cs="Times New Roman"/>
                <w:b/>
                <w:bCs/>
                <w:lang w:val="sq-AL"/>
              </w:rPr>
            </w:pPr>
            <w:r w:rsidRPr="001C0E87">
              <w:rPr>
                <w:rFonts w:ascii="Times New Roman" w:eastAsia="Times New Roman" w:hAnsi="Times New Roman" w:cs="Times New Roman"/>
                <w:b/>
                <w:bCs/>
                <w:lang w:val="sq-AL"/>
              </w:rPr>
              <w:t>Kriteret</w:t>
            </w:r>
          </w:p>
        </w:tc>
        <w:tc>
          <w:tcPr>
            <w:tcW w:w="6648" w:type="dxa"/>
            <w:gridSpan w:val="4"/>
            <w:shd w:val="clear" w:color="auto" w:fill="C5E0B3" w:themeFill="accent6" w:themeFillTint="66"/>
          </w:tcPr>
          <w:p w:rsidR="00C1352C" w:rsidRPr="001C0E87" w:rsidRDefault="00C1352C" w:rsidP="00C15B46">
            <w:pPr>
              <w:spacing w:line="276" w:lineRule="auto"/>
              <w:jc w:val="center"/>
              <w:rPr>
                <w:rFonts w:ascii="Times New Roman" w:eastAsia="Times New Roman" w:hAnsi="Times New Roman" w:cs="Times New Roman"/>
                <w:b/>
                <w:bCs/>
                <w:lang w:val="sq-AL"/>
              </w:rPr>
            </w:pPr>
            <w:r w:rsidRPr="001C0E87">
              <w:rPr>
                <w:rFonts w:ascii="Times New Roman" w:eastAsia="Times New Roman" w:hAnsi="Times New Roman" w:cs="Times New Roman"/>
                <w:b/>
                <w:bCs/>
                <w:lang w:val="sq-AL"/>
              </w:rPr>
              <w:t>Vlerësimi i ekspertëve</w:t>
            </w:r>
          </w:p>
        </w:tc>
      </w:tr>
      <w:tr w:rsidR="00BF46F6" w:rsidRPr="001C0E87" w:rsidTr="001C0E87">
        <w:tc>
          <w:tcPr>
            <w:tcW w:w="3072" w:type="dxa"/>
          </w:tcPr>
          <w:p w:rsidR="00BF46F6" w:rsidRPr="00803C23" w:rsidRDefault="006C53CF" w:rsidP="00C15B46">
            <w:pPr>
              <w:spacing w:line="276" w:lineRule="auto"/>
              <w:rPr>
                <w:rFonts w:ascii="Times New Roman" w:hAnsi="Times New Roman" w:cs="Times New Roman"/>
                <w:sz w:val="20"/>
                <w:szCs w:val="20"/>
              </w:rPr>
            </w:pPr>
            <w:r w:rsidRPr="00803C23">
              <w:rPr>
                <w:rFonts w:ascii="Times New Roman" w:hAnsi="Times New Roman" w:cs="Times New Roman"/>
                <w:b/>
                <w:sz w:val="20"/>
                <w:szCs w:val="20"/>
              </w:rPr>
              <w:t>Kriteri 1:</w:t>
            </w:r>
            <w:r w:rsidRPr="00803C23">
              <w:rPr>
                <w:rFonts w:ascii="Times New Roman" w:hAnsi="Times New Roman" w:cs="Times New Roman"/>
                <w:sz w:val="20"/>
                <w:szCs w:val="20"/>
              </w:rPr>
              <w:t xml:space="preserve">  Programi </w:t>
            </w:r>
            <w:bookmarkStart w:id="3" w:name="_Hlk89351588"/>
            <w:r w:rsidRPr="00803C23">
              <w:rPr>
                <w:rFonts w:ascii="Times New Roman" w:hAnsi="Times New Roman" w:cs="Times New Roman"/>
                <w:sz w:val="20"/>
                <w:szCs w:val="20"/>
              </w:rPr>
              <w:t xml:space="preserve">i specializimit afatgjatë </w:t>
            </w:r>
            <w:bookmarkEnd w:id="3"/>
            <w:r w:rsidRPr="00803C23">
              <w:rPr>
                <w:rFonts w:ascii="Times New Roman" w:hAnsi="Times New Roman" w:cs="Times New Roman"/>
                <w:sz w:val="20"/>
                <w:szCs w:val="20"/>
              </w:rPr>
              <w:t>ofrohet nga institucione me statusin universitet, i akredituar në Republikën e Shqipërisë</w:t>
            </w:r>
            <w:r w:rsidR="00803C23" w:rsidRPr="00803C23">
              <w:rPr>
                <w:rFonts w:ascii="Times New Roman" w:hAnsi="Times New Roman" w:cs="Times New Roman"/>
                <w:sz w:val="20"/>
                <w:szCs w:val="20"/>
              </w:rPr>
              <w:t>.</w:t>
            </w:r>
          </w:p>
        </w:tc>
        <w:tc>
          <w:tcPr>
            <w:tcW w:w="6648" w:type="dxa"/>
            <w:gridSpan w:val="4"/>
          </w:tcPr>
          <w:p w:rsidR="00BF46F6" w:rsidRPr="001C0E87" w:rsidRDefault="00BF46F6" w:rsidP="00243BA4">
            <w:pPr>
              <w:spacing w:line="276" w:lineRule="auto"/>
              <w:jc w:val="both"/>
              <w:rPr>
                <w:rFonts w:ascii="Times New Roman" w:hAnsi="Times New Roman" w:cs="Times New Roman"/>
                <w:b/>
              </w:rPr>
            </w:pPr>
          </w:p>
        </w:tc>
      </w:tr>
      <w:tr w:rsidR="00BF46F6" w:rsidRPr="001C0E87" w:rsidTr="001C0E87">
        <w:tc>
          <w:tcPr>
            <w:tcW w:w="3072" w:type="dxa"/>
          </w:tcPr>
          <w:p w:rsidR="00BF46F6" w:rsidRPr="00803C23" w:rsidRDefault="006C53CF" w:rsidP="00C15B46">
            <w:pPr>
              <w:spacing w:line="276" w:lineRule="auto"/>
              <w:rPr>
                <w:rFonts w:ascii="Times New Roman" w:hAnsi="Times New Roman" w:cs="Times New Roman"/>
                <w:sz w:val="20"/>
                <w:szCs w:val="20"/>
              </w:rPr>
            </w:pPr>
            <w:r w:rsidRPr="00803C23">
              <w:rPr>
                <w:rFonts w:ascii="Times New Roman" w:hAnsi="Times New Roman" w:cs="Times New Roman"/>
                <w:b/>
                <w:sz w:val="20"/>
                <w:szCs w:val="20"/>
              </w:rPr>
              <w:t>Kriteri 2:</w:t>
            </w:r>
            <w:r w:rsidRPr="00803C23">
              <w:rPr>
                <w:rFonts w:ascii="Times New Roman" w:hAnsi="Times New Roman" w:cs="Times New Roman"/>
                <w:sz w:val="20"/>
                <w:szCs w:val="20"/>
              </w:rPr>
              <w:t xml:space="preserve"> Programi i specializimit afatgjatë që ofrohet në bashkëpunim me institucione të tjera të arsimit të lartë, brenda ose jashtë vendit të jenë të akredituara në vendin e origjinës</w:t>
            </w:r>
            <w:r w:rsidR="00803C23" w:rsidRPr="00803C23">
              <w:rPr>
                <w:rFonts w:ascii="Times New Roman" w:hAnsi="Times New Roman" w:cs="Times New Roman"/>
                <w:sz w:val="20"/>
                <w:szCs w:val="20"/>
              </w:rPr>
              <w:t>.</w:t>
            </w:r>
            <w:r w:rsidRPr="00803C23">
              <w:rPr>
                <w:rFonts w:ascii="Times New Roman" w:hAnsi="Times New Roman" w:cs="Times New Roman"/>
                <w:sz w:val="20"/>
                <w:szCs w:val="20"/>
              </w:rPr>
              <w:t xml:space="preserve"> </w:t>
            </w:r>
          </w:p>
        </w:tc>
        <w:tc>
          <w:tcPr>
            <w:tcW w:w="6648" w:type="dxa"/>
            <w:gridSpan w:val="4"/>
          </w:tcPr>
          <w:p w:rsidR="00BF46F6" w:rsidRPr="001C0E87" w:rsidRDefault="00BF46F6" w:rsidP="00243BA4">
            <w:pPr>
              <w:spacing w:line="276" w:lineRule="auto"/>
              <w:jc w:val="both"/>
              <w:rPr>
                <w:rFonts w:ascii="Times New Roman" w:hAnsi="Times New Roman" w:cs="Times New Roman"/>
                <w:b/>
              </w:rPr>
            </w:pPr>
          </w:p>
        </w:tc>
      </w:tr>
      <w:tr w:rsidR="00BF46F6" w:rsidRPr="001C0E87" w:rsidTr="001C0E87">
        <w:tc>
          <w:tcPr>
            <w:tcW w:w="3072" w:type="dxa"/>
          </w:tcPr>
          <w:p w:rsidR="00BF46F6" w:rsidRPr="00803C23" w:rsidRDefault="006C53CF" w:rsidP="00C15B46">
            <w:pPr>
              <w:spacing w:line="276" w:lineRule="auto"/>
              <w:rPr>
                <w:rFonts w:ascii="Times New Roman" w:hAnsi="Times New Roman" w:cs="Times New Roman"/>
                <w:sz w:val="20"/>
                <w:szCs w:val="20"/>
              </w:rPr>
            </w:pPr>
            <w:r w:rsidRPr="00803C23">
              <w:rPr>
                <w:rFonts w:ascii="Times New Roman" w:hAnsi="Times New Roman" w:cs="Times New Roman"/>
                <w:b/>
                <w:sz w:val="20"/>
                <w:szCs w:val="20"/>
              </w:rPr>
              <w:t>Kriteri 3:</w:t>
            </w:r>
            <w:r w:rsidRPr="00803C23">
              <w:rPr>
                <w:rFonts w:ascii="Times New Roman" w:hAnsi="Times New Roman" w:cs="Times New Roman"/>
                <w:sz w:val="20"/>
                <w:szCs w:val="20"/>
              </w:rPr>
              <w:t xml:space="preserve"> Programi i specializimit afatgjatë hartohet nga njësitë bazë përgjegjëse/shërbimet pergjegjese te institucionit nëpërmjet procedurave të brendshme transparente dhe miratohet në përputhje me statutin, rregulloren dhe aktet e tjera organizative të institucionit</w:t>
            </w:r>
            <w:r w:rsidR="00803C23" w:rsidRPr="00803C23">
              <w:rPr>
                <w:rFonts w:ascii="Times New Roman" w:hAnsi="Times New Roman" w:cs="Times New Roman"/>
                <w:sz w:val="20"/>
                <w:szCs w:val="20"/>
              </w:rPr>
              <w:t>.</w:t>
            </w:r>
          </w:p>
        </w:tc>
        <w:tc>
          <w:tcPr>
            <w:tcW w:w="6648" w:type="dxa"/>
            <w:gridSpan w:val="4"/>
          </w:tcPr>
          <w:p w:rsidR="00BF46F6" w:rsidRPr="001C0E87" w:rsidRDefault="00BF46F6" w:rsidP="00243BA4">
            <w:pPr>
              <w:spacing w:line="276" w:lineRule="auto"/>
              <w:jc w:val="both"/>
              <w:rPr>
                <w:rFonts w:ascii="Times New Roman" w:hAnsi="Times New Roman" w:cs="Times New Roman"/>
                <w:b/>
              </w:rPr>
            </w:pPr>
          </w:p>
        </w:tc>
      </w:tr>
      <w:tr w:rsidR="00BF46F6" w:rsidRPr="001C0E87" w:rsidTr="001C0E87">
        <w:tc>
          <w:tcPr>
            <w:tcW w:w="3072" w:type="dxa"/>
          </w:tcPr>
          <w:p w:rsidR="00803C23" w:rsidRPr="00803C23" w:rsidRDefault="00803C23" w:rsidP="00803C23">
            <w:pPr>
              <w:spacing w:line="276" w:lineRule="auto"/>
              <w:rPr>
                <w:rFonts w:ascii="Times New Roman" w:hAnsi="Times New Roman" w:cs="Times New Roman"/>
                <w:sz w:val="20"/>
                <w:szCs w:val="20"/>
              </w:rPr>
            </w:pPr>
            <w:r w:rsidRPr="00803C23">
              <w:rPr>
                <w:rFonts w:ascii="Times New Roman" w:hAnsi="Times New Roman" w:cs="Times New Roman"/>
                <w:b/>
                <w:sz w:val="20"/>
                <w:szCs w:val="20"/>
              </w:rPr>
              <w:t>Kriteri 4:</w:t>
            </w:r>
            <w:r w:rsidRPr="00803C23">
              <w:rPr>
                <w:rFonts w:ascii="Times New Roman" w:hAnsi="Times New Roman" w:cs="Times New Roman"/>
                <w:sz w:val="20"/>
                <w:szCs w:val="20"/>
              </w:rPr>
              <w:t xml:space="preserve"> Programi i specializimit afatgjatë përfshin formim teorik e praktik në fushën e specialitetit, i cili realizohet njëkohësisht në një universitet të akredituar, dhe në një institucion spitalor ose në një institucion shëndetësor të akredituar nga institucioni shtetëror përgjegjës për akreditimin e institucioneve shëndetësore.</w:t>
            </w:r>
          </w:p>
          <w:p w:rsidR="00BF46F6" w:rsidRPr="00803C23" w:rsidRDefault="00803C23" w:rsidP="00C15B46">
            <w:pPr>
              <w:spacing w:line="276" w:lineRule="auto"/>
              <w:rPr>
                <w:rFonts w:ascii="Times New Roman" w:hAnsi="Times New Roman" w:cs="Times New Roman"/>
                <w:sz w:val="20"/>
                <w:szCs w:val="20"/>
              </w:rPr>
            </w:pPr>
            <w:r w:rsidRPr="00803C23">
              <w:rPr>
                <w:rFonts w:ascii="Times New Roman" w:hAnsi="Times New Roman" w:cs="Times New Roman"/>
                <w:sz w:val="20"/>
                <w:szCs w:val="20"/>
              </w:rPr>
              <w:t>Institucionet i arsimit të lartë duhet të kenë zhvilluar dhe akredituar/riakredituar programet e integruara të ciklit të dytë në fushën e mjekësisë në momentin e ofrimit të një programi të ciklit të tretë.</w:t>
            </w:r>
          </w:p>
        </w:tc>
        <w:tc>
          <w:tcPr>
            <w:tcW w:w="6648" w:type="dxa"/>
            <w:gridSpan w:val="4"/>
          </w:tcPr>
          <w:p w:rsidR="00BF46F6" w:rsidRPr="001C0E87" w:rsidRDefault="00BF46F6" w:rsidP="00243BA4">
            <w:pPr>
              <w:spacing w:line="276" w:lineRule="auto"/>
              <w:jc w:val="both"/>
              <w:rPr>
                <w:rFonts w:ascii="Times New Roman" w:hAnsi="Times New Roman" w:cs="Times New Roman"/>
                <w:b/>
              </w:rPr>
            </w:pPr>
          </w:p>
        </w:tc>
      </w:tr>
      <w:tr w:rsidR="00803C23" w:rsidRPr="001C0E87" w:rsidTr="001C0E87">
        <w:tc>
          <w:tcPr>
            <w:tcW w:w="3072" w:type="dxa"/>
          </w:tcPr>
          <w:p w:rsidR="00803C23" w:rsidRPr="00803C23" w:rsidRDefault="00803C23" w:rsidP="00803C23">
            <w:pPr>
              <w:spacing w:line="276" w:lineRule="auto"/>
              <w:rPr>
                <w:rFonts w:ascii="Times New Roman" w:hAnsi="Times New Roman" w:cs="Times New Roman"/>
                <w:sz w:val="20"/>
                <w:szCs w:val="20"/>
              </w:rPr>
            </w:pPr>
            <w:r w:rsidRPr="00803C23">
              <w:rPr>
                <w:rFonts w:ascii="Times New Roman" w:hAnsi="Times New Roman" w:cs="Times New Roman"/>
                <w:b/>
                <w:sz w:val="20"/>
                <w:szCs w:val="20"/>
              </w:rPr>
              <w:t>Kriteri 5:</w:t>
            </w:r>
            <w:r w:rsidRPr="00803C23">
              <w:rPr>
                <w:rFonts w:ascii="Times New Roman" w:hAnsi="Times New Roman" w:cs="Times New Roman"/>
                <w:sz w:val="20"/>
                <w:szCs w:val="20"/>
              </w:rPr>
              <w:t xml:space="preserve"> Programi  i  specializimit  afatgjatë  kryhet  me  kohë  të  plotë  dhe  përfshin pjesëmarrjen në veprimtaritë </w:t>
            </w:r>
            <w:r w:rsidRPr="00803C23">
              <w:rPr>
                <w:rFonts w:ascii="Times New Roman" w:hAnsi="Times New Roman" w:cs="Times New Roman"/>
                <w:sz w:val="20"/>
                <w:szCs w:val="20"/>
              </w:rPr>
              <w:lastRenderedPageBreak/>
              <w:t>mjekësore të departamenteve/shërbimeve ku ofrohet  formimi,   në  përputhje   me  procedurat  e  përcaktuara  dhe  nën mbikqyrjen e autoritetit apo entit përgjegjës.</w:t>
            </w:r>
          </w:p>
        </w:tc>
        <w:tc>
          <w:tcPr>
            <w:tcW w:w="6648" w:type="dxa"/>
            <w:gridSpan w:val="4"/>
          </w:tcPr>
          <w:p w:rsidR="00803C23" w:rsidRPr="001C0E87" w:rsidRDefault="00803C23" w:rsidP="00243BA4">
            <w:pPr>
              <w:spacing w:line="276" w:lineRule="auto"/>
              <w:jc w:val="both"/>
              <w:rPr>
                <w:rFonts w:ascii="Times New Roman" w:hAnsi="Times New Roman" w:cs="Times New Roman"/>
                <w:b/>
              </w:rPr>
            </w:pPr>
          </w:p>
        </w:tc>
      </w:tr>
      <w:tr w:rsidR="00C1352C" w:rsidRPr="001C0E87" w:rsidTr="001C0E87">
        <w:trPr>
          <w:trHeight w:val="315"/>
        </w:trPr>
        <w:tc>
          <w:tcPr>
            <w:tcW w:w="3072" w:type="dxa"/>
            <w:vMerge w:val="restart"/>
            <w:shd w:val="clear" w:color="auto" w:fill="F7CAAC" w:themeFill="accent2" w:themeFillTint="66"/>
          </w:tcPr>
          <w:p w:rsidR="00C1352C" w:rsidRPr="001C0E87" w:rsidRDefault="00C1352C" w:rsidP="00243BA4">
            <w:pPr>
              <w:spacing w:line="276" w:lineRule="auto"/>
              <w:rPr>
                <w:rFonts w:ascii="Times New Roman" w:hAnsi="Times New Roman" w:cs="Times New Roman"/>
                <w:b/>
              </w:rPr>
            </w:pPr>
            <w:r w:rsidRPr="001C0E87">
              <w:rPr>
                <w:rFonts w:ascii="Times New Roman" w:hAnsi="Times New Roman" w:cs="Times New Roman"/>
                <w:b/>
              </w:rPr>
              <w:t>Shkalla e përmbushjes së standardit</w:t>
            </w:r>
          </w:p>
        </w:tc>
        <w:tc>
          <w:tcPr>
            <w:tcW w:w="1518" w:type="dxa"/>
            <w:shd w:val="clear" w:color="auto" w:fill="FF000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Nuk përmbushet</w:t>
            </w:r>
          </w:p>
        </w:tc>
        <w:tc>
          <w:tcPr>
            <w:tcW w:w="1530" w:type="dxa"/>
            <w:shd w:val="clear" w:color="auto" w:fill="FF660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Përmbushet pjesërisht</w:t>
            </w:r>
          </w:p>
        </w:tc>
        <w:tc>
          <w:tcPr>
            <w:tcW w:w="1710" w:type="dxa"/>
            <w:shd w:val="clear" w:color="auto" w:fill="CCCC0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Përmbushet kryesisht</w:t>
            </w:r>
          </w:p>
        </w:tc>
        <w:tc>
          <w:tcPr>
            <w:tcW w:w="1890" w:type="dxa"/>
            <w:shd w:val="clear" w:color="auto" w:fill="92D05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Përmbushet plotësisht</w:t>
            </w:r>
          </w:p>
        </w:tc>
      </w:tr>
      <w:tr w:rsidR="00C1352C" w:rsidRPr="001C0E87" w:rsidTr="001C0E87">
        <w:trPr>
          <w:trHeight w:val="315"/>
        </w:trPr>
        <w:tc>
          <w:tcPr>
            <w:tcW w:w="3072" w:type="dxa"/>
            <w:vMerge/>
            <w:shd w:val="clear" w:color="auto" w:fill="F7CAAC" w:themeFill="accent2" w:themeFillTint="66"/>
          </w:tcPr>
          <w:p w:rsidR="00C1352C" w:rsidRPr="001C0E87" w:rsidRDefault="00C1352C" w:rsidP="00243BA4">
            <w:pPr>
              <w:spacing w:line="276" w:lineRule="auto"/>
              <w:rPr>
                <w:rFonts w:ascii="Times New Roman" w:hAnsi="Times New Roman" w:cs="Times New Roman"/>
                <w:b/>
              </w:rPr>
            </w:pPr>
          </w:p>
        </w:tc>
        <w:tc>
          <w:tcPr>
            <w:tcW w:w="1518" w:type="dxa"/>
          </w:tcPr>
          <w:p w:rsidR="00C1352C" w:rsidRPr="001C0E87" w:rsidRDefault="00C1352C" w:rsidP="00243BA4">
            <w:pPr>
              <w:spacing w:line="276" w:lineRule="auto"/>
              <w:jc w:val="both"/>
              <w:rPr>
                <w:rFonts w:ascii="Times New Roman" w:hAnsi="Times New Roman" w:cs="Times New Roman"/>
                <w:b/>
              </w:rPr>
            </w:pPr>
          </w:p>
        </w:tc>
        <w:tc>
          <w:tcPr>
            <w:tcW w:w="1530" w:type="dxa"/>
          </w:tcPr>
          <w:p w:rsidR="00C1352C" w:rsidRPr="001C0E87" w:rsidRDefault="00C1352C" w:rsidP="00243BA4">
            <w:pPr>
              <w:spacing w:line="276" w:lineRule="auto"/>
              <w:jc w:val="both"/>
              <w:rPr>
                <w:rFonts w:ascii="Times New Roman" w:hAnsi="Times New Roman" w:cs="Times New Roman"/>
                <w:b/>
              </w:rPr>
            </w:pPr>
          </w:p>
        </w:tc>
        <w:tc>
          <w:tcPr>
            <w:tcW w:w="1710" w:type="dxa"/>
          </w:tcPr>
          <w:p w:rsidR="00C1352C" w:rsidRPr="001C0E87" w:rsidRDefault="00C1352C" w:rsidP="00243BA4">
            <w:pPr>
              <w:spacing w:line="276" w:lineRule="auto"/>
              <w:jc w:val="both"/>
              <w:rPr>
                <w:rFonts w:ascii="Times New Roman" w:hAnsi="Times New Roman" w:cs="Times New Roman"/>
                <w:b/>
              </w:rPr>
            </w:pPr>
          </w:p>
        </w:tc>
        <w:tc>
          <w:tcPr>
            <w:tcW w:w="1890" w:type="dxa"/>
          </w:tcPr>
          <w:p w:rsidR="00C1352C" w:rsidRPr="001C0E87" w:rsidRDefault="00C1352C" w:rsidP="00243BA4">
            <w:pPr>
              <w:spacing w:line="276" w:lineRule="auto"/>
              <w:jc w:val="both"/>
              <w:rPr>
                <w:rFonts w:ascii="Times New Roman" w:hAnsi="Times New Roman" w:cs="Times New Roman"/>
                <w:b/>
              </w:rPr>
            </w:pPr>
          </w:p>
        </w:tc>
      </w:tr>
    </w:tbl>
    <w:p w:rsidR="00BF46F6" w:rsidRPr="001C0E87" w:rsidRDefault="00BF46F6" w:rsidP="00C15B46">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521"/>
        <w:gridCol w:w="1539"/>
        <w:gridCol w:w="1710"/>
        <w:gridCol w:w="1890"/>
      </w:tblGrid>
      <w:tr w:rsidR="00C1352C" w:rsidRPr="001C0E87" w:rsidTr="006537E0">
        <w:tc>
          <w:tcPr>
            <w:tcW w:w="9720" w:type="dxa"/>
            <w:gridSpan w:val="5"/>
            <w:shd w:val="clear" w:color="auto" w:fill="F7CAAC" w:themeFill="accent2" w:themeFillTint="66"/>
          </w:tcPr>
          <w:p w:rsidR="00C1352C" w:rsidRPr="001C0E87" w:rsidRDefault="00C1352C" w:rsidP="00243BA4">
            <w:pPr>
              <w:spacing w:line="276" w:lineRule="auto"/>
              <w:jc w:val="both"/>
              <w:rPr>
                <w:rFonts w:ascii="Times New Roman" w:eastAsia="?????? Pro W3" w:hAnsi="Times New Roman" w:cs="Times New Roman"/>
                <w:b/>
                <w:color w:val="000000"/>
                <w:lang w:val="sq-AL"/>
              </w:rPr>
            </w:pPr>
            <w:r w:rsidRPr="001C0E87">
              <w:rPr>
                <w:rFonts w:ascii="Times New Roman" w:eastAsia="?????? Pro W3" w:hAnsi="Times New Roman" w:cs="Times New Roman"/>
                <w:b/>
                <w:color w:val="000000"/>
                <w:lang w:val="sq-AL"/>
              </w:rPr>
              <w:t>Standardi I.2</w:t>
            </w:r>
            <w:r w:rsidRPr="001C0E87">
              <w:rPr>
                <w:rFonts w:ascii="Times New Roman" w:eastAsia="?????? Pro W3" w:hAnsi="Times New Roman" w:cs="Times New Roman"/>
                <w:b/>
                <w:color w:val="000000"/>
                <w:lang w:val="sq-AL"/>
              </w:rPr>
              <w:tab/>
            </w:r>
            <w:r w:rsidRPr="001C0E87">
              <w:rPr>
                <w:rFonts w:ascii="Times New Roman" w:eastAsia="?????? Pro W3" w:hAnsi="Times New Roman" w:cs="Times New Roman"/>
                <w:b/>
                <w:color w:val="000000"/>
                <w:lang w:val="sq-AL"/>
              </w:rPr>
              <w:tab/>
            </w:r>
          </w:p>
          <w:p w:rsidR="00C1352C" w:rsidRPr="001C0E87" w:rsidRDefault="00803C23" w:rsidP="00243BA4">
            <w:pPr>
              <w:spacing w:line="276" w:lineRule="auto"/>
              <w:jc w:val="both"/>
              <w:rPr>
                <w:rFonts w:ascii="Times New Roman" w:hAnsi="Times New Roman" w:cs="Times New Roman"/>
                <w:b/>
              </w:rPr>
            </w:pPr>
            <w:r w:rsidRPr="00803C23">
              <w:rPr>
                <w:rFonts w:ascii="Times New Roman" w:hAnsi="Times New Roman" w:cs="Times New Roman"/>
                <w:b/>
                <w:lang w:val="sq-AL"/>
              </w:rPr>
              <w:t>Programi i studimit specializim afatgjatë  në  mjekësi  ofrohet në përputhje me strategjinë e zhvillimit të institucionit.</w:t>
            </w:r>
          </w:p>
        </w:tc>
      </w:tr>
      <w:tr w:rsidR="00C1352C" w:rsidRPr="001C0E87" w:rsidTr="003847F8">
        <w:trPr>
          <w:trHeight w:val="386"/>
        </w:trPr>
        <w:tc>
          <w:tcPr>
            <w:tcW w:w="3060" w:type="dxa"/>
            <w:shd w:val="clear" w:color="auto" w:fill="C5E0B3" w:themeFill="accent6" w:themeFillTint="66"/>
          </w:tcPr>
          <w:p w:rsidR="00C1352C" w:rsidRPr="001C0E87" w:rsidRDefault="00C1352C" w:rsidP="00243BA4">
            <w:pPr>
              <w:spacing w:line="276" w:lineRule="auto"/>
              <w:jc w:val="both"/>
              <w:rPr>
                <w:rFonts w:ascii="Times New Roman" w:eastAsia="Times New Roman" w:hAnsi="Times New Roman" w:cs="Times New Roman"/>
                <w:b/>
                <w:bCs/>
                <w:lang w:val="sq-AL"/>
              </w:rPr>
            </w:pPr>
            <w:r w:rsidRPr="001C0E87">
              <w:rPr>
                <w:rFonts w:ascii="Times New Roman" w:eastAsia="Times New Roman" w:hAnsi="Times New Roman" w:cs="Times New Roman"/>
                <w:b/>
                <w:bCs/>
                <w:lang w:val="sq-AL"/>
              </w:rPr>
              <w:t>Kriteret</w:t>
            </w:r>
          </w:p>
        </w:tc>
        <w:tc>
          <w:tcPr>
            <w:tcW w:w="6660" w:type="dxa"/>
            <w:gridSpan w:val="4"/>
            <w:shd w:val="clear" w:color="auto" w:fill="C5E0B3" w:themeFill="accent6" w:themeFillTint="66"/>
          </w:tcPr>
          <w:p w:rsidR="00C1352C" w:rsidRPr="001C0E87" w:rsidRDefault="00C1352C" w:rsidP="00C15B46">
            <w:pPr>
              <w:spacing w:line="276" w:lineRule="auto"/>
              <w:jc w:val="center"/>
              <w:rPr>
                <w:rFonts w:ascii="Times New Roman" w:eastAsia="Times New Roman" w:hAnsi="Times New Roman" w:cs="Times New Roman"/>
                <w:b/>
                <w:bCs/>
                <w:lang w:val="sq-AL"/>
              </w:rPr>
            </w:pPr>
            <w:r w:rsidRPr="001C0E87">
              <w:rPr>
                <w:rFonts w:ascii="Times New Roman" w:eastAsia="Times New Roman" w:hAnsi="Times New Roman" w:cs="Times New Roman"/>
                <w:b/>
                <w:bCs/>
                <w:lang w:val="sq-AL"/>
              </w:rPr>
              <w:t>Vlerësimi i ekspertëve</w:t>
            </w:r>
          </w:p>
        </w:tc>
      </w:tr>
      <w:tr w:rsidR="00BF46F6" w:rsidRPr="001C0E87" w:rsidTr="003847F8">
        <w:tc>
          <w:tcPr>
            <w:tcW w:w="3060" w:type="dxa"/>
          </w:tcPr>
          <w:p w:rsidR="00BF46F6" w:rsidRPr="007929C8" w:rsidRDefault="00803C23" w:rsidP="00C15B46">
            <w:pPr>
              <w:spacing w:line="276" w:lineRule="auto"/>
              <w:rPr>
                <w:rFonts w:ascii="Times New Roman" w:hAnsi="Times New Roman" w:cs="Times New Roman"/>
                <w:sz w:val="20"/>
                <w:szCs w:val="20"/>
              </w:rPr>
            </w:pPr>
            <w:r w:rsidRPr="007929C8">
              <w:rPr>
                <w:rFonts w:ascii="Times New Roman" w:hAnsi="Times New Roman" w:cs="Times New Roman"/>
                <w:b/>
                <w:sz w:val="20"/>
                <w:szCs w:val="20"/>
              </w:rPr>
              <w:t>Kriteri 1:</w:t>
            </w:r>
            <w:r w:rsidRPr="007929C8">
              <w:rPr>
                <w:rFonts w:ascii="Times New Roman" w:hAnsi="Times New Roman" w:cs="Times New Roman"/>
                <w:sz w:val="20"/>
                <w:szCs w:val="20"/>
              </w:rPr>
              <w:t xml:space="preserve"> Programi i studimit specializim afatgjatë hartohet dhe ofrohet në përputhje dhe ne zbatim të strategjisë së zhvillimit të institucionit.</w:t>
            </w:r>
          </w:p>
        </w:tc>
        <w:tc>
          <w:tcPr>
            <w:tcW w:w="6660" w:type="dxa"/>
            <w:gridSpan w:val="4"/>
          </w:tcPr>
          <w:p w:rsidR="00BF46F6" w:rsidRPr="001C0E87" w:rsidRDefault="00BF46F6" w:rsidP="00243BA4">
            <w:pPr>
              <w:spacing w:line="276" w:lineRule="auto"/>
              <w:jc w:val="both"/>
              <w:rPr>
                <w:rFonts w:ascii="Times New Roman" w:hAnsi="Times New Roman" w:cs="Times New Roman"/>
                <w:b/>
              </w:rPr>
            </w:pPr>
          </w:p>
        </w:tc>
      </w:tr>
      <w:tr w:rsidR="00BF46F6" w:rsidRPr="001C0E87" w:rsidTr="003847F8">
        <w:tc>
          <w:tcPr>
            <w:tcW w:w="3060" w:type="dxa"/>
          </w:tcPr>
          <w:p w:rsidR="00BF46F6" w:rsidRPr="007929C8" w:rsidRDefault="007929C8" w:rsidP="00C15B46">
            <w:pPr>
              <w:spacing w:line="276" w:lineRule="auto"/>
              <w:rPr>
                <w:rFonts w:ascii="Times New Roman" w:hAnsi="Times New Roman" w:cs="Times New Roman"/>
                <w:sz w:val="20"/>
                <w:szCs w:val="20"/>
              </w:rPr>
            </w:pPr>
            <w:r w:rsidRPr="007929C8">
              <w:rPr>
                <w:rFonts w:ascii="Times New Roman" w:hAnsi="Times New Roman" w:cs="Times New Roman"/>
                <w:b/>
                <w:sz w:val="20"/>
                <w:szCs w:val="20"/>
              </w:rPr>
              <w:t>Kriteri 2:</w:t>
            </w:r>
            <w:r w:rsidRPr="007929C8">
              <w:rPr>
                <w:rFonts w:ascii="Times New Roman" w:hAnsi="Times New Roman" w:cs="Times New Roman"/>
                <w:sz w:val="20"/>
                <w:szCs w:val="20"/>
              </w:rPr>
              <w:t xml:space="preserve"> Programi i specializimit afatgjatë ka të përcaktuara qartë emërtimin, organizimin, strukturën, përmbajtjen, qëllimin dhe objektivat e tij, të harmonizuara me ato të institucionit/institucioneve ofrues, në përputhje dhe me Kornizën Shqiptare të Kualifikimeve</w:t>
            </w:r>
          </w:p>
        </w:tc>
        <w:tc>
          <w:tcPr>
            <w:tcW w:w="6660" w:type="dxa"/>
            <w:gridSpan w:val="4"/>
          </w:tcPr>
          <w:p w:rsidR="00BF46F6" w:rsidRPr="001C0E87" w:rsidRDefault="00BF46F6" w:rsidP="00243BA4">
            <w:pPr>
              <w:spacing w:line="276" w:lineRule="auto"/>
              <w:jc w:val="both"/>
              <w:rPr>
                <w:rFonts w:ascii="Times New Roman" w:hAnsi="Times New Roman" w:cs="Times New Roman"/>
                <w:b/>
              </w:rPr>
            </w:pPr>
          </w:p>
        </w:tc>
      </w:tr>
      <w:tr w:rsidR="00C1352C" w:rsidRPr="001C0E87" w:rsidTr="003847F8">
        <w:trPr>
          <w:trHeight w:val="315"/>
        </w:trPr>
        <w:tc>
          <w:tcPr>
            <w:tcW w:w="3060" w:type="dxa"/>
            <w:vMerge w:val="restart"/>
            <w:shd w:val="clear" w:color="auto" w:fill="F7CAAC" w:themeFill="accent2" w:themeFillTint="66"/>
          </w:tcPr>
          <w:p w:rsidR="00C1352C" w:rsidRPr="001C0E87" w:rsidRDefault="00C1352C" w:rsidP="00243BA4">
            <w:pPr>
              <w:spacing w:line="276" w:lineRule="auto"/>
              <w:rPr>
                <w:rFonts w:ascii="Times New Roman" w:hAnsi="Times New Roman" w:cs="Times New Roman"/>
                <w:b/>
              </w:rPr>
            </w:pPr>
            <w:r w:rsidRPr="001C0E87">
              <w:rPr>
                <w:rFonts w:ascii="Times New Roman" w:hAnsi="Times New Roman" w:cs="Times New Roman"/>
                <w:b/>
              </w:rPr>
              <w:t>Shkalla e përmbushjes së standardit</w:t>
            </w:r>
          </w:p>
        </w:tc>
        <w:tc>
          <w:tcPr>
            <w:tcW w:w="1521" w:type="dxa"/>
            <w:shd w:val="clear" w:color="auto" w:fill="FF000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Nuk përmbushet</w:t>
            </w:r>
          </w:p>
        </w:tc>
        <w:tc>
          <w:tcPr>
            <w:tcW w:w="1539" w:type="dxa"/>
            <w:shd w:val="clear" w:color="auto" w:fill="FF660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Përmbushet pjesërisht</w:t>
            </w:r>
          </w:p>
        </w:tc>
        <w:tc>
          <w:tcPr>
            <w:tcW w:w="1710" w:type="dxa"/>
            <w:shd w:val="clear" w:color="auto" w:fill="CCCC0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Përmbushet kryesisht</w:t>
            </w:r>
          </w:p>
        </w:tc>
        <w:tc>
          <w:tcPr>
            <w:tcW w:w="1890" w:type="dxa"/>
            <w:shd w:val="clear" w:color="auto" w:fill="92D05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Përmbushet plotësisht</w:t>
            </w:r>
          </w:p>
        </w:tc>
      </w:tr>
      <w:tr w:rsidR="00C1352C" w:rsidRPr="001C0E87" w:rsidTr="003847F8">
        <w:trPr>
          <w:trHeight w:val="315"/>
        </w:trPr>
        <w:tc>
          <w:tcPr>
            <w:tcW w:w="3060" w:type="dxa"/>
            <w:vMerge/>
            <w:shd w:val="clear" w:color="auto" w:fill="F7CAAC" w:themeFill="accent2" w:themeFillTint="66"/>
          </w:tcPr>
          <w:p w:rsidR="00C1352C" w:rsidRPr="001C0E87" w:rsidRDefault="00C1352C" w:rsidP="00243BA4">
            <w:pPr>
              <w:spacing w:line="276" w:lineRule="auto"/>
              <w:rPr>
                <w:rFonts w:ascii="Times New Roman" w:hAnsi="Times New Roman" w:cs="Times New Roman"/>
                <w:b/>
              </w:rPr>
            </w:pPr>
          </w:p>
        </w:tc>
        <w:tc>
          <w:tcPr>
            <w:tcW w:w="1521" w:type="dxa"/>
          </w:tcPr>
          <w:p w:rsidR="00C1352C" w:rsidRPr="001C0E87" w:rsidRDefault="00C1352C" w:rsidP="00243BA4">
            <w:pPr>
              <w:spacing w:line="276" w:lineRule="auto"/>
              <w:jc w:val="both"/>
              <w:rPr>
                <w:rFonts w:ascii="Times New Roman" w:hAnsi="Times New Roman" w:cs="Times New Roman"/>
                <w:b/>
              </w:rPr>
            </w:pPr>
          </w:p>
        </w:tc>
        <w:tc>
          <w:tcPr>
            <w:tcW w:w="1539" w:type="dxa"/>
          </w:tcPr>
          <w:p w:rsidR="00C1352C" w:rsidRPr="001C0E87" w:rsidRDefault="00C1352C" w:rsidP="00243BA4">
            <w:pPr>
              <w:spacing w:line="276" w:lineRule="auto"/>
              <w:jc w:val="both"/>
              <w:rPr>
                <w:rFonts w:ascii="Times New Roman" w:hAnsi="Times New Roman" w:cs="Times New Roman"/>
                <w:b/>
              </w:rPr>
            </w:pPr>
          </w:p>
        </w:tc>
        <w:tc>
          <w:tcPr>
            <w:tcW w:w="1710" w:type="dxa"/>
          </w:tcPr>
          <w:p w:rsidR="00C1352C" w:rsidRPr="001C0E87" w:rsidRDefault="00C1352C" w:rsidP="00243BA4">
            <w:pPr>
              <w:spacing w:line="276" w:lineRule="auto"/>
              <w:jc w:val="both"/>
              <w:rPr>
                <w:rFonts w:ascii="Times New Roman" w:hAnsi="Times New Roman" w:cs="Times New Roman"/>
                <w:b/>
              </w:rPr>
            </w:pPr>
          </w:p>
        </w:tc>
        <w:tc>
          <w:tcPr>
            <w:tcW w:w="1890" w:type="dxa"/>
          </w:tcPr>
          <w:p w:rsidR="00C1352C" w:rsidRPr="001C0E87" w:rsidRDefault="00C1352C" w:rsidP="00243BA4">
            <w:pPr>
              <w:spacing w:line="276" w:lineRule="auto"/>
              <w:jc w:val="both"/>
              <w:rPr>
                <w:rFonts w:ascii="Times New Roman" w:hAnsi="Times New Roman" w:cs="Times New Roman"/>
                <w:b/>
              </w:rPr>
            </w:pPr>
          </w:p>
        </w:tc>
      </w:tr>
    </w:tbl>
    <w:p w:rsidR="00C1352C" w:rsidRPr="001C0E87" w:rsidRDefault="00C1352C"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530"/>
        <w:gridCol w:w="1530"/>
        <w:gridCol w:w="1710"/>
        <w:gridCol w:w="1890"/>
      </w:tblGrid>
      <w:tr w:rsidR="00C1352C" w:rsidRPr="001C0E87" w:rsidTr="00243BA4">
        <w:tc>
          <w:tcPr>
            <w:tcW w:w="9720" w:type="dxa"/>
            <w:gridSpan w:val="5"/>
            <w:shd w:val="clear" w:color="auto" w:fill="F7CAAC" w:themeFill="accent2" w:themeFillTint="66"/>
          </w:tcPr>
          <w:p w:rsidR="00C1352C" w:rsidRPr="001C0E87" w:rsidRDefault="00C1352C" w:rsidP="00243BA4">
            <w:pPr>
              <w:spacing w:line="276" w:lineRule="auto"/>
              <w:jc w:val="both"/>
              <w:rPr>
                <w:rFonts w:ascii="Times New Roman" w:eastAsia="Times New Roman" w:hAnsi="Times New Roman" w:cs="Times New Roman"/>
                <w:b/>
                <w:bCs/>
                <w:lang w:val="sq-AL"/>
              </w:rPr>
            </w:pPr>
            <w:r w:rsidRPr="001C0E87">
              <w:rPr>
                <w:rFonts w:ascii="Times New Roman" w:eastAsia="Times New Roman" w:hAnsi="Times New Roman" w:cs="Times New Roman"/>
                <w:b/>
                <w:bCs/>
                <w:lang w:val="sq-AL"/>
              </w:rPr>
              <w:t>Standardi I.3</w:t>
            </w:r>
            <w:r w:rsidRPr="001C0E87">
              <w:rPr>
                <w:rFonts w:ascii="Times New Roman" w:eastAsia="Times New Roman" w:hAnsi="Times New Roman" w:cs="Times New Roman"/>
                <w:b/>
                <w:bCs/>
                <w:lang w:val="sq-AL"/>
              </w:rPr>
              <w:tab/>
            </w:r>
          </w:p>
          <w:p w:rsidR="00C1352C" w:rsidRPr="001C0E87" w:rsidRDefault="00997BE0" w:rsidP="00243BA4">
            <w:pPr>
              <w:spacing w:line="276" w:lineRule="auto"/>
              <w:jc w:val="both"/>
              <w:rPr>
                <w:rFonts w:ascii="Times New Roman" w:hAnsi="Times New Roman" w:cs="Times New Roman"/>
                <w:b/>
              </w:rPr>
            </w:pPr>
            <w:r w:rsidRPr="00997BE0">
              <w:rPr>
                <w:rFonts w:ascii="Times New Roman" w:hAnsi="Times New Roman"/>
                <w:b/>
                <w:color w:val="000000" w:themeColor="text1"/>
                <w:lang w:val="sq-AL"/>
              </w:rPr>
              <w:t>Programi i studimit specializim afagjitë synon të plotësoje nevojat aktuale që ka vendi për specialistë në fushën e mjekësisë</w:t>
            </w:r>
            <w:r>
              <w:rPr>
                <w:rFonts w:ascii="Times New Roman" w:hAnsi="Times New Roman"/>
                <w:b/>
                <w:color w:val="000000" w:themeColor="text1"/>
                <w:lang w:val="sq-AL"/>
              </w:rPr>
              <w:t>.</w:t>
            </w:r>
          </w:p>
        </w:tc>
      </w:tr>
      <w:tr w:rsidR="00C1352C" w:rsidRPr="001C0E87" w:rsidTr="00AB4710">
        <w:trPr>
          <w:trHeight w:val="422"/>
        </w:trPr>
        <w:tc>
          <w:tcPr>
            <w:tcW w:w="3060" w:type="dxa"/>
            <w:shd w:val="clear" w:color="auto" w:fill="C5E0B3" w:themeFill="accent6" w:themeFillTint="66"/>
          </w:tcPr>
          <w:p w:rsidR="00C1352C" w:rsidRPr="001C0E87" w:rsidRDefault="00C1352C" w:rsidP="00243BA4">
            <w:pPr>
              <w:spacing w:line="276" w:lineRule="auto"/>
              <w:jc w:val="both"/>
              <w:rPr>
                <w:rFonts w:ascii="Times New Roman" w:eastAsia="Times New Roman" w:hAnsi="Times New Roman" w:cs="Times New Roman"/>
                <w:b/>
                <w:bCs/>
                <w:lang w:val="sq-AL"/>
              </w:rPr>
            </w:pPr>
            <w:r w:rsidRPr="001C0E87">
              <w:rPr>
                <w:rFonts w:ascii="Times New Roman" w:eastAsia="Times New Roman" w:hAnsi="Times New Roman" w:cs="Times New Roman"/>
                <w:b/>
                <w:bCs/>
                <w:lang w:val="sq-AL"/>
              </w:rPr>
              <w:t>Kriteret</w:t>
            </w:r>
          </w:p>
        </w:tc>
        <w:tc>
          <w:tcPr>
            <w:tcW w:w="6660" w:type="dxa"/>
            <w:gridSpan w:val="4"/>
            <w:shd w:val="clear" w:color="auto" w:fill="C5E0B3" w:themeFill="accent6" w:themeFillTint="66"/>
          </w:tcPr>
          <w:p w:rsidR="00C1352C" w:rsidRPr="001C0E87" w:rsidRDefault="00C1352C" w:rsidP="00D248C4">
            <w:pPr>
              <w:spacing w:line="276" w:lineRule="auto"/>
              <w:jc w:val="center"/>
              <w:rPr>
                <w:rFonts w:ascii="Times New Roman" w:eastAsia="Times New Roman" w:hAnsi="Times New Roman" w:cs="Times New Roman"/>
                <w:b/>
                <w:bCs/>
                <w:lang w:val="sq-AL"/>
              </w:rPr>
            </w:pPr>
            <w:r w:rsidRPr="001C0E87">
              <w:rPr>
                <w:rFonts w:ascii="Times New Roman" w:eastAsia="Times New Roman" w:hAnsi="Times New Roman" w:cs="Times New Roman"/>
                <w:b/>
                <w:bCs/>
                <w:lang w:val="sq-AL"/>
              </w:rPr>
              <w:t>Vlerësimi i ekspertëve</w:t>
            </w:r>
          </w:p>
        </w:tc>
      </w:tr>
      <w:tr w:rsidR="00F902C7" w:rsidRPr="001C0E87" w:rsidTr="00AB4710">
        <w:tc>
          <w:tcPr>
            <w:tcW w:w="3060" w:type="dxa"/>
          </w:tcPr>
          <w:p w:rsidR="00F902C7" w:rsidRPr="00997BE0" w:rsidRDefault="00997BE0" w:rsidP="00D248C4">
            <w:pPr>
              <w:spacing w:line="276" w:lineRule="auto"/>
              <w:rPr>
                <w:rFonts w:ascii="Times New Roman" w:hAnsi="Times New Roman" w:cs="Times New Roman"/>
                <w:sz w:val="20"/>
                <w:szCs w:val="20"/>
              </w:rPr>
            </w:pPr>
            <w:r w:rsidRPr="00997BE0">
              <w:rPr>
                <w:rFonts w:ascii="Times New Roman" w:hAnsi="Times New Roman" w:cs="Times New Roman"/>
                <w:b/>
                <w:sz w:val="20"/>
                <w:szCs w:val="20"/>
              </w:rPr>
              <w:t>Kriteri 1:</w:t>
            </w:r>
            <w:r w:rsidRPr="00997BE0">
              <w:rPr>
                <w:rFonts w:ascii="Times New Roman" w:hAnsi="Times New Roman" w:cs="Times New Roman"/>
                <w:sz w:val="20"/>
                <w:szCs w:val="20"/>
              </w:rPr>
              <w:t xml:space="preserve"> Programet e studimeve specializuese afatgjata në fushën e mjekësisë synojnë të  plotësojnë  kërkesat  e  tregut  të  punës  në  përputhje  me  nevojat  për specialistë në fushën e mjekësisë.</w:t>
            </w:r>
          </w:p>
        </w:tc>
        <w:tc>
          <w:tcPr>
            <w:tcW w:w="6660" w:type="dxa"/>
            <w:gridSpan w:val="4"/>
          </w:tcPr>
          <w:p w:rsidR="00F902C7" w:rsidRPr="001C0E87" w:rsidRDefault="00F902C7" w:rsidP="00243BA4">
            <w:pPr>
              <w:spacing w:line="276" w:lineRule="auto"/>
              <w:jc w:val="both"/>
              <w:rPr>
                <w:rFonts w:ascii="Times New Roman" w:hAnsi="Times New Roman" w:cs="Times New Roman"/>
                <w:b/>
              </w:rPr>
            </w:pPr>
          </w:p>
        </w:tc>
      </w:tr>
      <w:tr w:rsidR="00F902C7" w:rsidRPr="001C0E87" w:rsidTr="00AB4710">
        <w:tc>
          <w:tcPr>
            <w:tcW w:w="3060" w:type="dxa"/>
          </w:tcPr>
          <w:p w:rsidR="00F902C7" w:rsidRPr="00997BE0" w:rsidRDefault="00997BE0" w:rsidP="00D248C4">
            <w:pPr>
              <w:spacing w:line="276" w:lineRule="auto"/>
              <w:rPr>
                <w:rFonts w:ascii="Times New Roman" w:hAnsi="Times New Roman" w:cs="Times New Roman"/>
                <w:sz w:val="20"/>
                <w:szCs w:val="20"/>
              </w:rPr>
            </w:pPr>
            <w:r w:rsidRPr="00E602A2">
              <w:rPr>
                <w:rFonts w:ascii="Times New Roman" w:hAnsi="Times New Roman" w:cs="Times New Roman"/>
                <w:b/>
                <w:sz w:val="20"/>
                <w:szCs w:val="20"/>
              </w:rPr>
              <w:t>Kriteri 2:</w:t>
            </w:r>
            <w:r w:rsidRPr="00997BE0">
              <w:rPr>
                <w:rFonts w:ascii="Times New Roman" w:hAnsi="Times New Roman" w:cs="Times New Roman"/>
                <w:sz w:val="20"/>
                <w:szCs w:val="20"/>
              </w:rPr>
              <w:t xml:space="preserve"> Numri i përgjithshëm i specializantëve dhe numri i atyre që e ndjekin këtë program studimi çdo vit përcaktohet në përputhje me politikat shtetërore të zhvillimit </w:t>
            </w:r>
            <w:r w:rsidRPr="00997BE0">
              <w:rPr>
                <w:rFonts w:ascii="Times New Roman" w:hAnsi="Times New Roman" w:cs="Times New Roman"/>
                <w:sz w:val="20"/>
                <w:szCs w:val="20"/>
              </w:rPr>
              <w:lastRenderedPageBreak/>
              <w:t>të fushës së shëndetësisë dhe kapacitetet pritëse të strukturave të përfshira në rrjetin formues (në varësi të numrit të personel</w:t>
            </w:r>
            <w:r w:rsidR="00D248C4">
              <w:rPr>
                <w:rFonts w:ascii="Times New Roman" w:hAnsi="Times New Roman" w:cs="Times New Roman"/>
                <w:sz w:val="20"/>
                <w:szCs w:val="20"/>
              </w:rPr>
              <w:t>it, kapaciteteve pritëse, etj).</w:t>
            </w:r>
          </w:p>
        </w:tc>
        <w:tc>
          <w:tcPr>
            <w:tcW w:w="6660" w:type="dxa"/>
            <w:gridSpan w:val="4"/>
          </w:tcPr>
          <w:p w:rsidR="00F902C7" w:rsidRPr="001C0E87" w:rsidRDefault="00F902C7" w:rsidP="00243BA4">
            <w:pPr>
              <w:spacing w:line="276" w:lineRule="auto"/>
              <w:jc w:val="both"/>
              <w:rPr>
                <w:rFonts w:ascii="Times New Roman" w:hAnsi="Times New Roman" w:cs="Times New Roman"/>
                <w:b/>
              </w:rPr>
            </w:pPr>
          </w:p>
        </w:tc>
      </w:tr>
      <w:tr w:rsidR="00C1352C" w:rsidRPr="001C0E87" w:rsidTr="00AB4710">
        <w:trPr>
          <w:trHeight w:val="315"/>
        </w:trPr>
        <w:tc>
          <w:tcPr>
            <w:tcW w:w="3060" w:type="dxa"/>
            <w:vMerge w:val="restart"/>
            <w:shd w:val="clear" w:color="auto" w:fill="F7CAAC" w:themeFill="accent2" w:themeFillTint="66"/>
          </w:tcPr>
          <w:p w:rsidR="00C1352C" w:rsidRPr="001C0E87" w:rsidRDefault="00C1352C" w:rsidP="00243BA4">
            <w:pPr>
              <w:spacing w:line="276" w:lineRule="auto"/>
              <w:rPr>
                <w:rFonts w:ascii="Times New Roman" w:hAnsi="Times New Roman" w:cs="Times New Roman"/>
                <w:b/>
              </w:rPr>
            </w:pPr>
            <w:r w:rsidRPr="001C0E87">
              <w:rPr>
                <w:rFonts w:ascii="Times New Roman" w:hAnsi="Times New Roman" w:cs="Times New Roman"/>
                <w:b/>
              </w:rPr>
              <w:t>Shkalla e përmbushjes së standardit</w:t>
            </w:r>
          </w:p>
        </w:tc>
        <w:tc>
          <w:tcPr>
            <w:tcW w:w="1530" w:type="dxa"/>
            <w:shd w:val="clear" w:color="auto" w:fill="FF000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Nuk përmbushet</w:t>
            </w:r>
          </w:p>
        </w:tc>
        <w:tc>
          <w:tcPr>
            <w:tcW w:w="1530" w:type="dxa"/>
            <w:shd w:val="clear" w:color="auto" w:fill="FF660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Përmbushet pjesërisht</w:t>
            </w:r>
          </w:p>
        </w:tc>
        <w:tc>
          <w:tcPr>
            <w:tcW w:w="1710" w:type="dxa"/>
            <w:shd w:val="clear" w:color="auto" w:fill="CCCC0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Përmbushet krye</w:t>
            </w:r>
            <w:r w:rsidRPr="001C0E87">
              <w:rPr>
                <w:rFonts w:ascii="Times New Roman" w:hAnsi="Times New Roman" w:cs="Times New Roman"/>
                <w:b/>
                <w:shd w:val="clear" w:color="auto" w:fill="CCCC00"/>
              </w:rPr>
              <w:t>s</w:t>
            </w:r>
            <w:r w:rsidRPr="001C0E87">
              <w:rPr>
                <w:rFonts w:ascii="Times New Roman" w:hAnsi="Times New Roman" w:cs="Times New Roman"/>
                <w:b/>
              </w:rPr>
              <w:t>isht</w:t>
            </w:r>
          </w:p>
        </w:tc>
        <w:tc>
          <w:tcPr>
            <w:tcW w:w="1890" w:type="dxa"/>
            <w:shd w:val="clear" w:color="auto" w:fill="92D05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Përmbushet plotësisht</w:t>
            </w:r>
          </w:p>
        </w:tc>
      </w:tr>
      <w:tr w:rsidR="00C1352C" w:rsidRPr="001C0E87" w:rsidTr="00AB4710">
        <w:trPr>
          <w:trHeight w:val="315"/>
        </w:trPr>
        <w:tc>
          <w:tcPr>
            <w:tcW w:w="3060" w:type="dxa"/>
            <w:vMerge/>
            <w:shd w:val="clear" w:color="auto" w:fill="F7CAAC" w:themeFill="accent2" w:themeFillTint="66"/>
          </w:tcPr>
          <w:p w:rsidR="00C1352C" w:rsidRPr="001C0E87" w:rsidRDefault="00C1352C" w:rsidP="00243BA4">
            <w:pPr>
              <w:spacing w:line="276" w:lineRule="auto"/>
              <w:rPr>
                <w:rFonts w:ascii="Times New Roman" w:hAnsi="Times New Roman" w:cs="Times New Roman"/>
                <w:b/>
              </w:rPr>
            </w:pPr>
          </w:p>
        </w:tc>
        <w:tc>
          <w:tcPr>
            <w:tcW w:w="1530" w:type="dxa"/>
          </w:tcPr>
          <w:p w:rsidR="00C1352C" w:rsidRPr="001C0E87" w:rsidRDefault="00C1352C" w:rsidP="00243BA4">
            <w:pPr>
              <w:spacing w:line="276" w:lineRule="auto"/>
              <w:jc w:val="both"/>
              <w:rPr>
                <w:rFonts w:ascii="Times New Roman" w:hAnsi="Times New Roman" w:cs="Times New Roman"/>
                <w:b/>
              </w:rPr>
            </w:pPr>
          </w:p>
        </w:tc>
        <w:tc>
          <w:tcPr>
            <w:tcW w:w="1530" w:type="dxa"/>
          </w:tcPr>
          <w:p w:rsidR="00C1352C" w:rsidRPr="001C0E87" w:rsidRDefault="00C1352C" w:rsidP="00243BA4">
            <w:pPr>
              <w:spacing w:line="276" w:lineRule="auto"/>
              <w:jc w:val="both"/>
              <w:rPr>
                <w:rFonts w:ascii="Times New Roman" w:hAnsi="Times New Roman" w:cs="Times New Roman"/>
                <w:b/>
              </w:rPr>
            </w:pPr>
          </w:p>
        </w:tc>
        <w:tc>
          <w:tcPr>
            <w:tcW w:w="1710" w:type="dxa"/>
          </w:tcPr>
          <w:p w:rsidR="00C1352C" w:rsidRPr="001C0E87" w:rsidRDefault="00C1352C" w:rsidP="00243BA4">
            <w:pPr>
              <w:spacing w:line="276" w:lineRule="auto"/>
              <w:jc w:val="both"/>
              <w:rPr>
                <w:rFonts w:ascii="Times New Roman" w:hAnsi="Times New Roman" w:cs="Times New Roman"/>
                <w:b/>
              </w:rPr>
            </w:pPr>
          </w:p>
        </w:tc>
        <w:tc>
          <w:tcPr>
            <w:tcW w:w="1890" w:type="dxa"/>
          </w:tcPr>
          <w:p w:rsidR="00C1352C" w:rsidRPr="001C0E87" w:rsidRDefault="00C1352C" w:rsidP="00243BA4">
            <w:pPr>
              <w:spacing w:line="276" w:lineRule="auto"/>
              <w:jc w:val="both"/>
              <w:rPr>
                <w:rFonts w:ascii="Times New Roman" w:hAnsi="Times New Roman" w:cs="Times New Roman"/>
                <w:b/>
              </w:rPr>
            </w:pPr>
          </w:p>
        </w:tc>
      </w:tr>
    </w:tbl>
    <w:p w:rsidR="00883B80" w:rsidRDefault="00883B80"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530"/>
        <w:gridCol w:w="1530"/>
        <w:gridCol w:w="1710"/>
        <w:gridCol w:w="1890"/>
      </w:tblGrid>
      <w:tr w:rsidR="00E602A2" w:rsidRPr="001C0E87" w:rsidTr="00596BE2">
        <w:tc>
          <w:tcPr>
            <w:tcW w:w="9720" w:type="dxa"/>
            <w:gridSpan w:val="5"/>
            <w:shd w:val="clear" w:color="auto" w:fill="F7CAAC" w:themeFill="accent2" w:themeFillTint="66"/>
          </w:tcPr>
          <w:p w:rsidR="00E602A2" w:rsidRPr="001C0E87" w:rsidRDefault="00E602A2" w:rsidP="00596BE2">
            <w:pPr>
              <w:spacing w:line="276" w:lineRule="auto"/>
              <w:jc w:val="both"/>
              <w:rPr>
                <w:rFonts w:ascii="Times New Roman" w:eastAsia="Times New Roman" w:hAnsi="Times New Roman" w:cs="Times New Roman"/>
                <w:b/>
                <w:bCs/>
                <w:lang w:val="sq-AL"/>
              </w:rPr>
            </w:pPr>
            <w:r>
              <w:rPr>
                <w:rFonts w:ascii="Times New Roman" w:eastAsia="Times New Roman" w:hAnsi="Times New Roman" w:cs="Times New Roman"/>
                <w:b/>
                <w:bCs/>
                <w:lang w:val="sq-AL"/>
              </w:rPr>
              <w:t>Standardi I.4</w:t>
            </w:r>
            <w:r w:rsidRPr="001C0E87">
              <w:rPr>
                <w:rFonts w:ascii="Times New Roman" w:eastAsia="Times New Roman" w:hAnsi="Times New Roman" w:cs="Times New Roman"/>
                <w:b/>
                <w:bCs/>
                <w:lang w:val="sq-AL"/>
              </w:rPr>
              <w:tab/>
            </w:r>
          </w:p>
          <w:p w:rsidR="00E602A2" w:rsidRPr="001C0E87" w:rsidRDefault="00E602A2" w:rsidP="00596BE2">
            <w:pPr>
              <w:spacing w:line="276" w:lineRule="auto"/>
              <w:jc w:val="both"/>
              <w:rPr>
                <w:rFonts w:ascii="Times New Roman" w:hAnsi="Times New Roman" w:cs="Times New Roman"/>
                <w:b/>
              </w:rPr>
            </w:pPr>
            <w:r w:rsidRPr="00E602A2">
              <w:rPr>
                <w:rFonts w:ascii="Times New Roman" w:hAnsi="Times New Roman"/>
                <w:b/>
                <w:color w:val="000000" w:themeColor="text1"/>
                <w:lang w:val="sq-AL"/>
              </w:rPr>
              <w:t>Programet e studimeve ofrohen në përshtatje me nivelin e studimeve.</w:t>
            </w:r>
          </w:p>
        </w:tc>
      </w:tr>
      <w:tr w:rsidR="00E602A2" w:rsidRPr="001C0E87" w:rsidTr="00596BE2">
        <w:trPr>
          <w:trHeight w:val="422"/>
        </w:trPr>
        <w:tc>
          <w:tcPr>
            <w:tcW w:w="3060" w:type="dxa"/>
            <w:shd w:val="clear" w:color="auto" w:fill="C5E0B3" w:themeFill="accent6" w:themeFillTint="66"/>
          </w:tcPr>
          <w:p w:rsidR="00E602A2" w:rsidRPr="001C0E87" w:rsidRDefault="00E602A2" w:rsidP="00596BE2">
            <w:pPr>
              <w:spacing w:line="276" w:lineRule="auto"/>
              <w:jc w:val="both"/>
              <w:rPr>
                <w:rFonts w:ascii="Times New Roman" w:eastAsia="Times New Roman" w:hAnsi="Times New Roman" w:cs="Times New Roman"/>
                <w:b/>
                <w:bCs/>
                <w:lang w:val="sq-AL"/>
              </w:rPr>
            </w:pPr>
            <w:r w:rsidRPr="001C0E87">
              <w:rPr>
                <w:rFonts w:ascii="Times New Roman" w:eastAsia="Times New Roman" w:hAnsi="Times New Roman" w:cs="Times New Roman"/>
                <w:b/>
                <w:bCs/>
                <w:lang w:val="sq-AL"/>
              </w:rPr>
              <w:t>Kriteret</w:t>
            </w:r>
          </w:p>
        </w:tc>
        <w:tc>
          <w:tcPr>
            <w:tcW w:w="6660" w:type="dxa"/>
            <w:gridSpan w:val="4"/>
            <w:shd w:val="clear" w:color="auto" w:fill="C5E0B3" w:themeFill="accent6" w:themeFillTint="66"/>
          </w:tcPr>
          <w:p w:rsidR="00E602A2" w:rsidRPr="001C0E87" w:rsidRDefault="00E602A2" w:rsidP="00D248C4">
            <w:pPr>
              <w:spacing w:line="276" w:lineRule="auto"/>
              <w:jc w:val="center"/>
              <w:rPr>
                <w:rFonts w:ascii="Times New Roman" w:eastAsia="Times New Roman" w:hAnsi="Times New Roman" w:cs="Times New Roman"/>
                <w:b/>
                <w:bCs/>
                <w:lang w:val="sq-AL"/>
              </w:rPr>
            </w:pPr>
            <w:r w:rsidRPr="001C0E87">
              <w:rPr>
                <w:rFonts w:ascii="Times New Roman" w:eastAsia="Times New Roman" w:hAnsi="Times New Roman" w:cs="Times New Roman"/>
                <w:b/>
                <w:bCs/>
                <w:lang w:val="sq-AL"/>
              </w:rPr>
              <w:t>Vlerësimi i ekspertëve</w:t>
            </w:r>
          </w:p>
        </w:tc>
      </w:tr>
      <w:tr w:rsidR="00E602A2" w:rsidRPr="001C0E87" w:rsidTr="00596BE2">
        <w:tc>
          <w:tcPr>
            <w:tcW w:w="3060" w:type="dxa"/>
          </w:tcPr>
          <w:p w:rsidR="00E602A2" w:rsidRPr="0094333D" w:rsidRDefault="0094333D" w:rsidP="00D248C4">
            <w:pPr>
              <w:spacing w:line="276" w:lineRule="auto"/>
              <w:rPr>
                <w:rFonts w:ascii="Times New Roman" w:hAnsi="Times New Roman" w:cs="Times New Roman"/>
                <w:sz w:val="20"/>
                <w:szCs w:val="20"/>
              </w:rPr>
            </w:pPr>
            <w:r w:rsidRPr="0094333D">
              <w:rPr>
                <w:rFonts w:ascii="Times New Roman" w:hAnsi="Times New Roman" w:cs="Times New Roman"/>
                <w:b/>
                <w:sz w:val="20"/>
                <w:szCs w:val="20"/>
              </w:rPr>
              <w:t>Kriteri 1:</w:t>
            </w:r>
            <w:r w:rsidRPr="0094333D">
              <w:rPr>
                <w:rFonts w:ascii="Times New Roman" w:hAnsi="Times New Roman" w:cs="Times New Roman"/>
                <w:sz w:val="20"/>
                <w:szCs w:val="20"/>
              </w:rPr>
              <w:t xml:space="preserve"> Programi i specializimit afatgjatë përfshin formim teorik e praktik në fushën e specialitetit, i cili realizohet njëkohësisht në një universitet të akredituar dhe në një institucion spitalor ose në një institucion shëndetësor të miratuar dhe akredituar për këtë qëllim nga Ministri</w:t>
            </w:r>
            <w:r w:rsidR="00D248C4">
              <w:rPr>
                <w:rFonts w:ascii="Times New Roman" w:hAnsi="Times New Roman" w:cs="Times New Roman"/>
                <w:sz w:val="20"/>
                <w:szCs w:val="20"/>
              </w:rPr>
              <w:t>a përgjegjëse për shëndetësinë.</w:t>
            </w:r>
          </w:p>
        </w:tc>
        <w:tc>
          <w:tcPr>
            <w:tcW w:w="6660" w:type="dxa"/>
            <w:gridSpan w:val="4"/>
          </w:tcPr>
          <w:p w:rsidR="00E602A2" w:rsidRPr="001C0E87" w:rsidRDefault="00E602A2" w:rsidP="00596BE2">
            <w:pPr>
              <w:spacing w:line="276" w:lineRule="auto"/>
              <w:jc w:val="both"/>
              <w:rPr>
                <w:rFonts w:ascii="Times New Roman" w:hAnsi="Times New Roman" w:cs="Times New Roman"/>
                <w:b/>
              </w:rPr>
            </w:pPr>
          </w:p>
        </w:tc>
      </w:tr>
      <w:tr w:rsidR="00E602A2" w:rsidRPr="001C0E87" w:rsidTr="00596BE2">
        <w:tc>
          <w:tcPr>
            <w:tcW w:w="3060" w:type="dxa"/>
          </w:tcPr>
          <w:p w:rsidR="00E602A2" w:rsidRPr="0094333D" w:rsidRDefault="0094333D" w:rsidP="00D248C4">
            <w:pPr>
              <w:spacing w:line="276" w:lineRule="auto"/>
              <w:rPr>
                <w:rFonts w:ascii="Times New Roman" w:hAnsi="Times New Roman" w:cs="Times New Roman"/>
                <w:sz w:val="20"/>
                <w:szCs w:val="20"/>
              </w:rPr>
            </w:pPr>
            <w:r w:rsidRPr="0094333D">
              <w:rPr>
                <w:rFonts w:ascii="Times New Roman" w:hAnsi="Times New Roman" w:cs="Times New Roman"/>
                <w:b/>
                <w:sz w:val="20"/>
                <w:szCs w:val="20"/>
              </w:rPr>
              <w:t>Kriteri 2:</w:t>
            </w:r>
            <w:r w:rsidRPr="0094333D">
              <w:rPr>
                <w:rFonts w:ascii="Times New Roman" w:hAnsi="Times New Roman" w:cs="Times New Roman"/>
                <w:sz w:val="20"/>
                <w:szCs w:val="20"/>
              </w:rPr>
              <w:t xml:space="preserve"> Programi  i  specializimit  afatgjatë  kryhet  me  kohë  të  plotë  dhe  përfshin pjesëmarrjen në veprimtaritë akademike, klinike/diagnostikuese të departamenteve dhe/ose shërbimeve ku ofrohet formimi,   në  përputhje   me  rregulloren e programeve të specializimeve a</w:t>
            </w:r>
            <w:r w:rsidR="00D248C4">
              <w:rPr>
                <w:rFonts w:ascii="Times New Roman" w:hAnsi="Times New Roman" w:cs="Times New Roman"/>
                <w:sz w:val="20"/>
                <w:szCs w:val="20"/>
              </w:rPr>
              <w:t>fatgjata në fushën e mjekësisë.</w:t>
            </w:r>
          </w:p>
        </w:tc>
        <w:tc>
          <w:tcPr>
            <w:tcW w:w="6660" w:type="dxa"/>
            <w:gridSpan w:val="4"/>
          </w:tcPr>
          <w:p w:rsidR="00E602A2" w:rsidRPr="001C0E87" w:rsidRDefault="00E602A2" w:rsidP="00596BE2">
            <w:pPr>
              <w:spacing w:line="276" w:lineRule="auto"/>
              <w:jc w:val="both"/>
              <w:rPr>
                <w:rFonts w:ascii="Times New Roman" w:hAnsi="Times New Roman" w:cs="Times New Roman"/>
                <w:b/>
              </w:rPr>
            </w:pPr>
          </w:p>
        </w:tc>
      </w:tr>
      <w:tr w:rsidR="007B7AF7" w:rsidRPr="001C0E87" w:rsidTr="00596BE2">
        <w:trPr>
          <w:trHeight w:val="315"/>
        </w:trPr>
        <w:tc>
          <w:tcPr>
            <w:tcW w:w="3060" w:type="dxa"/>
            <w:vMerge w:val="restart"/>
            <w:shd w:val="clear" w:color="auto" w:fill="F7CAAC" w:themeFill="accent2" w:themeFillTint="66"/>
          </w:tcPr>
          <w:p w:rsidR="007B7AF7" w:rsidRPr="001C0E87" w:rsidRDefault="007B7AF7" w:rsidP="00596BE2">
            <w:pPr>
              <w:spacing w:line="276" w:lineRule="auto"/>
              <w:rPr>
                <w:rFonts w:ascii="Times New Roman" w:hAnsi="Times New Roman" w:cs="Times New Roman"/>
                <w:b/>
              </w:rPr>
            </w:pPr>
            <w:r w:rsidRPr="001C0E87">
              <w:rPr>
                <w:rFonts w:ascii="Times New Roman" w:hAnsi="Times New Roman" w:cs="Times New Roman"/>
                <w:b/>
              </w:rPr>
              <w:t>Shkalla e përmbushjes së standardit</w:t>
            </w:r>
          </w:p>
        </w:tc>
        <w:tc>
          <w:tcPr>
            <w:tcW w:w="1530" w:type="dxa"/>
            <w:shd w:val="clear" w:color="auto" w:fill="FF0000"/>
          </w:tcPr>
          <w:p w:rsidR="007B7AF7" w:rsidRPr="001C0E87" w:rsidRDefault="007B7AF7" w:rsidP="00596BE2">
            <w:pPr>
              <w:spacing w:line="276" w:lineRule="auto"/>
              <w:jc w:val="both"/>
              <w:rPr>
                <w:rFonts w:ascii="Times New Roman" w:hAnsi="Times New Roman" w:cs="Times New Roman"/>
                <w:b/>
              </w:rPr>
            </w:pPr>
            <w:r w:rsidRPr="001C0E87">
              <w:rPr>
                <w:rFonts w:ascii="Times New Roman" w:hAnsi="Times New Roman" w:cs="Times New Roman"/>
                <w:b/>
              </w:rPr>
              <w:t>Nuk përmbushet</w:t>
            </w:r>
          </w:p>
        </w:tc>
        <w:tc>
          <w:tcPr>
            <w:tcW w:w="1530" w:type="dxa"/>
            <w:shd w:val="clear" w:color="auto" w:fill="FF6600"/>
          </w:tcPr>
          <w:p w:rsidR="007B7AF7" w:rsidRPr="001C0E87" w:rsidRDefault="007B7AF7" w:rsidP="00596BE2">
            <w:pPr>
              <w:spacing w:line="276" w:lineRule="auto"/>
              <w:jc w:val="both"/>
              <w:rPr>
                <w:rFonts w:ascii="Times New Roman" w:hAnsi="Times New Roman" w:cs="Times New Roman"/>
                <w:b/>
              </w:rPr>
            </w:pPr>
            <w:r w:rsidRPr="001C0E87">
              <w:rPr>
                <w:rFonts w:ascii="Times New Roman" w:hAnsi="Times New Roman" w:cs="Times New Roman"/>
                <w:b/>
              </w:rPr>
              <w:t>Përmbushet pjesërisht</w:t>
            </w:r>
          </w:p>
        </w:tc>
        <w:tc>
          <w:tcPr>
            <w:tcW w:w="1710" w:type="dxa"/>
            <w:shd w:val="clear" w:color="auto" w:fill="CCCC00"/>
          </w:tcPr>
          <w:p w:rsidR="007B7AF7" w:rsidRPr="001C0E87" w:rsidRDefault="007B7AF7" w:rsidP="00596BE2">
            <w:pPr>
              <w:spacing w:line="276" w:lineRule="auto"/>
              <w:jc w:val="both"/>
              <w:rPr>
                <w:rFonts w:ascii="Times New Roman" w:hAnsi="Times New Roman" w:cs="Times New Roman"/>
                <w:b/>
              </w:rPr>
            </w:pPr>
            <w:r w:rsidRPr="001C0E87">
              <w:rPr>
                <w:rFonts w:ascii="Times New Roman" w:hAnsi="Times New Roman" w:cs="Times New Roman"/>
                <w:b/>
              </w:rPr>
              <w:t>Përmbushet krye</w:t>
            </w:r>
            <w:r w:rsidRPr="001C0E87">
              <w:rPr>
                <w:rFonts w:ascii="Times New Roman" w:hAnsi="Times New Roman" w:cs="Times New Roman"/>
                <w:b/>
                <w:shd w:val="clear" w:color="auto" w:fill="CCCC00"/>
              </w:rPr>
              <w:t>s</w:t>
            </w:r>
            <w:r w:rsidRPr="001C0E87">
              <w:rPr>
                <w:rFonts w:ascii="Times New Roman" w:hAnsi="Times New Roman" w:cs="Times New Roman"/>
                <w:b/>
              </w:rPr>
              <w:t>isht</w:t>
            </w:r>
          </w:p>
        </w:tc>
        <w:tc>
          <w:tcPr>
            <w:tcW w:w="1890" w:type="dxa"/>
            <w:shd w:val="clear" w:color="auto" w:fill="92D050"/>
          </w:tcPr>
          <w:p w:rsidR="007B7AF7" w:rsidRPr="001C0E87" w:rsidRDefault="007B7AF7" w:rsidP="00596BE2">
            <w:pPr>
              <w:spacing w:line="276" w:lineRule="auto"/>
              <w:jc w:val="both"/>
              <w:rPr>
                <w:rFonts w:ascii="Times New Roman" w:hAnsi="Times New Roman" w:cs="Times New Roman"/>
                <w:b/>
              </w:rPr>
            </w:pPr>
            <w:r w:rsidRPr="001C0E87">
              <w:rPr>
                <w:rFonts w:ascii="Times New Roman" w:hAnsi="Times New Roman" w:cs="Times New Roman"/>
                <w:b/>
              </w:rPr>
              <w:t>Përmbushet plotësisht</w:t>
            </w:r>
          </w:p>
        </w:tc>
      </w:tr>
      <w:tr w:rsidR="007B7AF7" w:rsidRPr="001C0E87" w:rsidTr="007B7AF7">
        <w:trPr>
          <w:trHeight w:val="315"/>
        </w:trPr>
        <w:tc>
          <w:tcPr>
            <w:tcW w:w="3060" w:type="dxa"/>
            <w:vMerge/>
            <w:shd w:val="clear" w:color="auto" w:fill="F7CAAC" w:themeFill="accent2" w:themeFillTint="66"/>
          </w:tcPr>
          <w:p w:rsidR="007B7AF7" w:rsidRPr="001C0E87" w:rsidRDefault="007B7AF7" w:rsidP="00596BE2">
            <w:pPr>
              <w:spacing w:line="276" w:lineRule="auto"/>
              <w:rPr>
                <w:rFonts w:ascii="Times New Roman" w:hAnsi="Times New Roman" w:cs="Times New Roman"/>
                <w:b/>
              </w:rPr>
            </w:pPr>
          </w:p>
        </w:tc>
        <w:tc>
          <w:tcPr>
            <w:tcW w:w="1530" w:type="dxa"/>
            <w:shd w:val="clear" w:color="auto" w:fill="auto"/>
          </w:tcPr>
          <w:p w:rsidR="007B7AF7" w:rsidRPr="001C0E87" w:rsidRDefault="007B7AF7" w:rsidP="00596BE2">
            <w:pPr>
              <w:spacing w:line="276" w:lineRule="auto"/>
              <w:jc w:val="both"/>
              <w:rPr>
                <w:rFonts w:ascii="Times New Roman" w:hAnsi="Times New Roman" w:cs="Times New Roman"/>
                <w:b/>
              </w:rPr>
            </w:pPr>
          </w:p>
        </w:tc>
        <w:tc>
          <w:tcPr>
            <w:tcW w:w="1530" w:type="dxa"/>
            <w:shd w:val="clear" w:color="auto" w:fill="auto"/>
          </w:tcPr>
          <w:p w:rsidR="007B7AF7" w:rsidRPr="001C0E87" w:rsidRDefault="007B7AF7" w:rsidP="00596BE2">
            <w:pPr>
              <w:spacing w:line="276" w:lineRule="auto"/>
              <w:jc w:val="both"/>
              <w:rPr>
                <w:rFonts w:ascii="Times New Roman" w:hAnsi="Times New Roman" w:cs="Times New Roman"/>
                <w:b/>
              </w:rPr>
            </w:pPr>
          </w:p>
        </w:tc>
        <w:tc>
          <w:tcPr>
            <w:tcW w:w="1710" w:type="dxa"/>
            <w:shd w:val="clear" w:color="auto" w:fill="auto"/>
          </w:tcPr>
          <w:p w:rsidR="007B7AF7" w:rsidRPr="001C0E87" w:rsidRDefault="007B7AF7" w:rsidP="00596BE2">
            <w:pPr>
              <w:spacing w:line="276" w:lineRule="auto"/>
              <w:jc w:val="both"/>
              <w:rPr>
                <w:rFonts w:ascii="Times New Roman" w:hAnsi="Times New Roman" w:cs="Times New Roman"/>
                <w:b/>
              </w:rPr>
            </w:pPr>
          </w:p>
        </w:tc>
        <w:tc>
          <w:tcPr>
            <w:tcW w:w="1890" w:type="dxa"/>
            <w:shd w:val="clear" w:color="auto" w:fill="auto"/>
          </w:tcPr>
          <w:p w:rsidR="007B7AF7" w:rsidRPr="001C0E87" w:rsidRDefault="007B7AF7" w:rsidP="00596BE2">
            <w:pPr>
              <w:spacing w:line="276" w:lineRule="auto"/>
              <w:jc w:val="both"/>
              <w:rPr>
                <w:rFonts w:ascii="Times New Roman" w:hAnsi="Times New Roman" w:cs="Times New Roman"/>
                <w:b/>
              </w:rPr>
            </w:pPr>
          </w:p>
        </w:tc>
      </w:tr>
    </w:tbl>
    <w:p w:rsidR="00E602A2" w:rsidRDefault="00E602A2"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530"/>
        <w:gridCol w:w="1530"/>
        <w:gridCol w:w="1710"/>
        <w:gridCol w:w="1890"/>
      </w:tblGrid>
      <w:tr w:rsidR="00E602A2" w:rsidRPr="001C0E87" w:rsidTr="00596BE2">
        <w:tc>
          <w:tcPr>
            <w:tcW w:w="9720" w:type="dxa"/>
            <w:gridSpan w:val="5"/>
            <w:shd w:val="clear" w:color="auto" w:fill="F7CAAC" w:themeFill="accent2" w:themeFillTint="66"/>
          </w:tcPr>
          <w:p w:rsidR="00E602A2" w:rsidRPr="001C0E87" w:rsidRDefault="00E602A2" w:rsidP="00596BE2">
            <w:pPr>
              <w:spacing w:line="276" w:lineRule="auto"/>
              <w:jc w:val="both"/>
              <w:rPr>
                <w:rFonts w:ascii="Times New Roman" w:eastAsia="Times New Roman" w:hAnsi="Times New Roman" w:cs="Times New Roman"/>
                <w:b/>
                <w:bCs/>
                <w:lang w:val="sq-AL"/>
              </w:rPr>
            </w:pPr>
            <w:r>
              <w:rPr>
                <w:rFonts w:ascii="Times New Roman" w:eastAsia="Times New Roman" w:hAnsi="Times New Roman" w:cs="Times New Roman"/>
                <w:b/>
                <w:bCs/>
                <w:lang w:val="sq-AL"/>
              </w:rPr>
              <w:t>Standardi I.5</w:t>
            </w:r>
            <w:r w:rsidRPr="001C0E87">
              <w:rPr>
                <w:rFonts w:ascii="Times New Roman" w:eastAsia="Times New Roman" w:hAnsi="Times New Roman" w:cs="Times New Roman"/>
                <w:b/>
                <w:bCs/>
                <w:lang w:val="sq-AL"/>
              </w:rPr>
              <w:tab/>
            </w:r>
          </w:p>
          <w:p w:rsidR="00E602A2" w:rsidRPr="001C0E87" w:rsidRDefault="0094333D" w:rsidP="00596BE2">
            <w:pPr>
              <w:spacing w:line="276" w:lineRule="auto"/>
              <w:jc w:val="both"/>
              <w:rPr>
                <w:rFonts w:ascii="Times New Roman" w:hAnsi="Times New Roman" w:cs="Times New Roman"/>
                <w:b/>
              </w:rPr>
            </w:pPr>
            <w:r w:rsidRPr="0094333D">
              <w:rPr>
                <w:rFonts w:ascii="Times New Roman" w:hAnsi="Times New Roman"/>
                <w:b/>
                <w:color w:val="000000" w:themeColor="text1"/>
                <w:lang w:val="sq-AL"/>
              </w:rPr>
              <w:t>Programi i studimit i ciklit të tretë specializim afatgjatë në fushën e mjekësisë synon të plotësojë nevojat që ka vendi për specialistë në fushën e mjekësisë.</w:t>
            </w:r>
          </w:p>
        </w:tc>
      </w:tr>
      <w:tr w:rsidR="00E602A2" w:rsidRPr="001C0E87" w:rsidTr="00596BE2">
        <w:trPr>
          <w:trHeight w:val="422"/>
        </w:trPr>
        <w:tc>
          <w:tcPr>
            <w:tcW w:w="3060" w:type="dxa"/>
            <w:shd w:val="clear" w:color="auto" w:fill="C5E0B3" w:themeFill="accent6" w:themeFillTint="66"/>
          </w:tcPr>
          <w:p w:rsidR="00E602A2" w:rsidRPr="001C0E87" w:rsidRDefault="00E602A2" w:rsidP="00596BE2">
            <w:pPr>
              <w:spacing w:line="276" w:lineRule="auto"/>
              <w:jc w:val="both"/>
              <w:rPr>
                <w:rFonts w:ascii="Times New Roman" w:eastAsia="Times New Roman" w:hAnsi="Times New Roman" w:cs="Times New Roman"/>
                <w:b/>
                <w:bCs/>
                <w:lang w:val="sq-AL"/>
              </w:rPr>
            </w:pPr>
            <w:r w:rsidRPr="001C0E87">
              <w:rPr>
                <w:rFonts w:ascii="Times New Roman" w:eastAsia="Times New Roman" w:hAnsi="Times New Roman" w:cs="Times New Roman"/>
                <w:b/>
                <w:bCs/>
                <w:lang w:val="sq-AL"/>
              </w:rPr>
              <w:t>Kriteret</w:t>
            </w:r>
          </w:p>
        </w:tc>
        <w:tc>
          <w:tcPr>
            <w:tcW w:w="6660" w:type="dxa"/>
            <w:gridSpan w:val="4"/>
            <w:shd w:val="clear" w:color="auto" w:fill="C5E0B3" w:themeFill="accent6" w:themeFillTint="66"/>
          </w:tcPr>
          <w:p w:rsidR="00E602A2" w:rsidRPr="001C0E87" w:rsidRDefault="00E602A2" w:rsidP="00D248C4">
            <w:pPr>
              <w:spacing w:line="276" w:lineRule="auto"/>
              <w:jc w:val="center"/>
              <w:rPr>
                <w:rFonts w:ascii="Times New Roman" w:eastAsia="Times New Roman" w:hAnsi="Times New Roman" w:cs="Times New Roman"/>
                <w:b/>
                <w:bCs/>
                <w:lang w:val="sq-AL"/>
              </w:rPr>
            </w:pPr>
            <w:r w:rsidRPr="001C0E87">
              <w:rPr>
                <w:rFonts w:ascii="Times New Roman" w:eastAsia="Times New Roman" w:hAnsi="Times New Roman" w:cs="Times New Roman"/>
                <w:b/>
                <w:bCs/>
                <w:lang w:val="sq-AL"/>
              </w:rPr>
              <w:t>Vlerësimi i ekspertëve</w:t>
            </w:r>
          </w:p>
        </w:tc>
      </w:tr>
      <w:tr w:rsidR="00E602A2" w:rsidRPr="001C0E87" w:rsidTr="00596BE2">
        <w:tc>
          <w:tcPr>
            <w:tcW w:w="3060" w:type="dxa"/>
          </w:tcPr>
          <w:p w:rsidR="00E602A2" w:rsidRPr="0094333D" w:rsidRDefault="0094333D" w:rsidP="00D248C4">
            <w:pPr>
              <w:spacing w:line="276" w:lineRule="auto"/>
              <w:rPr>
                <w:rFonts w:ascii="Times New Roman" w:hAnsi="Times New Roman" w:cs="Times New Roman"/>
                <w:sz w:val="20"/>
                <w:szCs w:val="20"/>
              </w:rPr>
            </w:pPr>
            <w:r w:rsidRPr="0094333D">
              <w:rPr>
                <w:rFonts w:ascii="Times New Roman" w:hAnsi="Times New Roman" w:cs="Times New Roman"/>
                <w:b/>
                <w:sz w:val="20"/>
                <w:szCs w:val="20"/>
              </w:rPr>
              <w:t>Kriteri 1:</w:t>
            </w:r>
            <w:r w:rsidRPr="0094333D">
              <w:rPr>
                <w:rFonts w:ascii="Times New Roman" w:hAnsi="Times New Roman" w:cs="Times New Roman"/>
                <w:sz w:val="20"/>
                <w:szCs w:val="20"/>
              </w:rPr>
              <w:t xml:space="preserve"> Për hartimin e programit të specializimit afatgjatë, njësia bazë përgjegjëse/shërbimi përgjegjës, kryen studime dhe analiza mbi situatën, zhvillimet, nevojat, prioritetet në fushën e përgjithshme dhe specifike të </w:t>
            </w:r>
            <w:r w:rsidRPr="0094333D">
              <w:rPr>
                <w:rFonts w:ascii="Times New Roman" w:hAnsi="Times New Roman" w:cs="Times New Roman"/>
                <w:sz w:val="20"/>
                <w:szCs w:val="20"/>
              </w:rPr>
              <w:lastRenderedPageBreak/>
              <w:t>programit dhe/ose të politikave shtetërore të zhvillimit të fushës së shëndetësisë, të cilat bëhen pjesë e projekt propozimi</w:t>
            </w:r>
            <w:r w:rsidR="00D248C4">
              <w:rPr>
                <w:rFonts w:ascii="Times New Roman" w:hAnsi="Times New Roman" w:cs="Times New Roman"/>
                <w:sz w:val="20"/>
                <w:szCs w:val="20"/>
              </w:rPr>
              <w:t xml:space="preserve">t përpara hapjes së programit. </w:t>
            </w:r>
          </w:p>
        </w:tc>
        <w:tc>
          <w:tcPr>
            <w:tcW w:w="6660" w:type="dxa"/>
            <w:gridSpan w:val="4"/>
          </w:tcPr>
          <w:p w:rsidR="00E602A2" w:rsidRPr="001C0E87" w:rsidRDefault="00E602A2" w:rsidP="00596BE2">
            <w:pPr>
              <w:spacing w:line="276" w:lineRule="auto"/>
              <w:jc w:val="both"/>
              <w:rPr>
                <w:rFonts w:ascii="Times New Roman" w:hAnsi="Times New Roman" w:cs="Times New Roman"/>
                <w:b/>
              </w:rPr>
            </w:pPr>
          </w:p>
        </w:tc>
      </w:tr>
      <w:tr w:rsidR="00E602A2" w:rsidRPr="001C0E87" w:rsidTr="00596BE2">
        <w:tc>
          <w:tcPr>
            <w:tcW w:w="3060" w:type="dxa"/>
          </w:tcPr>
          <w:p w:rsidR="00E602A2" w:rsidRPr="0094333D" w:rsidRDefault="0094333D" w:rsidP="00D248C4">
            <w:pPr>
              <w:spacing w:line="276" w:lineRule="auto"/>
              <w:rPr>
                <w:rFonts w:ascii="Times New Roman" w:hAnsi="Times New Roman" w:cs="Times New Roman"/>
                <w:sz w:val="20"/>
                <w:szCs w:val="20"/>
              </w:rPr>
            </w:pPr>
            <w:r w:rsidRPr="0094333D">
              <w:rPr>
                <w:rFonts w:ascii="Times New Roman" w:hAnsi="Times New Roman" w:cs="Times New Roman"/>
                <w:b/>
                <w:sz w:val="20"/>
                <w:szCs w:val="20"/>
              </w:rPr>
              <w:t>Kriteri 2:</w:t>
            </w:r>
            <w:r w:rsidRPr="0094333D">
              <w:rPr>
                <w:rFonts w:ascii="Times New Roman" w:hAnsi="Times New Roman" w:cs="Times New Roman"/>
                <w:sz w:val="20"/>
                <w:szCs w:val="20"/>
              </w:rPr>
              <w:t xml:space="preserve"> Programi i specializimit afatgjatë ka objektiva të përcaktuara qartë për formimin e specialistëve në fushën e mjekësisë me njohuri të thelluara kërkimore, si dhe aftësi dhe kompetenca klinike/diagnostikuese në fushat përkatëse të mjekësisë, në përputhje me kë</w:t>
            </w:r>
            <w:r w:rsidR="00D248C4">
              <w:rPr>
                <w:rFonts w:ascii="Times New Roman" w:hAnsi="Times New Roman" w:cs="Times New Roman"/>
                <w:sz w:val="20"/>
                <w:szCs w:val="20"/>
              </w:rPr>
              <w:t>rkesat dhe nevojat që ka vendi.</w:t>
            </w:r>
          </w:p>
        </w:tc>
        <w:tc>
          <w:tcPr>
            <w:tcW w:w="6660" w:type="dxa"/>
            <w:gridSpan w:val="4"/>
          </w:tcPr>
          <w:p w:rsidR="00E602A2" w:rsidRPr="001C0E87" w:rsidRDefault="00E602A2" w:rsidP="00596BE2">
            <w:pPr>
              <w:spacing w:line="276" w:lineRule="auto"/>
              <w:jc w:val="both"/>
              <w:rPr>
                <w:rFonts w:ascii="Times New Roman" w:hAnsi="Times New Roman" w:cs="Times New Roman"/>
                <w:b/>
              </w:rPr>
            </w:pPr>
          </w:p>
        </w:tc>
      </w:tr>
      <w:tr w:rsidR="0094333D" w:rsidRPr="001C0E87" w:rsidTr="00596BE2">
        <w:tc>
          <w:tcPr>
            <w:tcW w:w="3060" w:type="dxa"/>
          </w:tcPr>
          <w:p w:rsidR="0094333D" w:rsidRPr="0094333D" w:rsidRDefault="0094333D" w:rsidP="0094333D">
            <w:pPr>
              <w:spacing w:line="276" w:lineRule="auto"/>
              <w:rPr>
                <w:rFonts w:ascii="Times New Roman" w:hAnsi="Times New Roman" w:cs="Times New Roman"/>
                <w:sz w:val="20"/>
                <w:szCs w:val="20"/>
              </w:rPr>
            </w:pPr>
            <w:r w:rsidRPr="0094333D">
              <w:rPr>
                <w:rFonts w:ascii="Times New Roman" w:hAnsi="Times New Roman" w:cs="Times New Roman"/>
                <w:b/>
                <w:sz w:val="20"/>
                <w:szCs w:val="20"/>
              </w:rPr>
              <w:t>Kriteri 3:</w:t>
            </w:r>
            <w:r w:rsidRPr="0094333D">
              <w:rPr>
                <w:rFonts w:ascii="Times New Roman" w:hAnsi="Times New Roman" w:cs="Times New Roman"/>
                <w:sz w:val="20"/>
                <w:szCs w:val="20"/>
              </w:rPr>
              <w:t xml:space="preserve"> Programi i specializimit afatgjatë hartohet dhe harmonizohet me programe të ngjashme të ofruar nga institucione partnere vendase apo të huaja, udhëzues, direktiva të BE, të institucioneve dhe organizmave ndërkombëtare me të cilat është par</w:t>
            </w:r>
            <w:r w:rsidR="00D248C4">
              <w:rPr>
                <w:rFonts w:ascii="Times New Roman" w:hAnsi="Times New Roman" w:cs="Times New Roman"/>
                <w:sz w:val="20"/>
                <w:szCs w:val="20"/>
              </w:rPr>
              <w:t>tner apo bashkëpunon vendi ynë.</w:t>
            </w:r>
          </w:p>
        </w:tc>
        <w:tc>
          <w:tcPr>
            <w:tcW w:w="6660" w:type="dxa"/>
            <w:gridSpan w:val="4"/>
          </w:tcPr>
          <w:p w:rsidR="0094333D" w:rsidRPr="001C0E87" w:rsidRDefault="0094333D" w:rsidP="00596BE2">
            <w:pPr>
              <w:spacing w:line="276" w:lineRule="auto"/>
              <w:jc w:val="both"/>
              <w:rPr>
                <w:rFonts w:ascii="Times New Roman" w:hAnsi="Times New Roman" w:cs="Times New Roman"/>
                <w:b/>
              </w:rPr>
            </w:pPr>
          </w:p>
        </w:tc>
      </w:tr>
      <w:tr w:rsidR="0094333D" w:rsidRPr="001C0E87" w:rsidTr="00596BE2">
        <w:tc>
          <w:tcPr>
            <w:tcW w:w="3060" w:type="dxa"/>
          </w:tcPr>
          <w:p w:rsidR="0094333D" w:rsidRPr="0094333D" w:rsidRDefault="0094333D" w:rsidP="0094333D">
            <w:pPr>
              <w:spacing w:line="276" w:lineRule="auto"/>
              <w:rPr>
                <w:rFonts w:ascii="Times New Roman" w:hAnsi="Times New Roman" w:cs="Times New Roman"/>
                <w:sz w:val="20"/>
                <w:szCs w:val="20"/>
              </w:rPr>
            </w:pPr>
            <w:r w:rsidRPr="0094333D">
              <w:rPr>
                <w:rFonts w:ascii="Times New Roman" w:hAnsi="Times New Roman" w:cs="Times New Roman"/>
                <w:b/>
                <w:sz w:val="20"/>
                <w:szCs w:val="20"/>
              </w:rPr>
              <w:t>Kriteri 4:</w:t>
            </w:r>
            <w:r w:rsidRPr="0094333D">
              <w:rPr>
                <w:rFonts w:ascii="Times New Roman" w:hAnsi="Times New Roman" w:cs="Times New Roman"/>
                <w:sz w:val="20"/>
                <w:szCs w:val="20"/>
              </w:rPr>
              <w:t xml:space="preserve"> Me qëllim rritjen e bashkëpunimit në nivel ndërkombëtar, mobilitetit dhe përfshirjen në veprimtaritë akademike të programit edhe të specialistëve/profesionistë të huaj, programi mund të aplikohet pjesërisht ose i plotë e</w:t>
            </w:r>
            <w:r w:rsidR="00D248C4">
              <w:rPr>
                <w:rFonts w:ascii="Times New Roman" w:hAnsi="Times New Roman" w:cs="Times New Roman"/>
                <w:sz w:val="20"/>
                <w:szCs w:val="20"/>
              </w:rPr>
              <w:t xml:space="preserve">dhe në një nga gjuhët e BE-së. </w:t>
            </w:r>
          </w:p>
        </w:tc>
        <w:tc>
          <w:tcPr>
            <w:tcW w:w="6660" w:type="dxa"/>
            <w:gridSpan w:val="4"/>
          </w:tcPr>
          <w:p w:rsidR="0094333D" w:rsidRPr="001C0E87" w:rsidRDefault="0094333D" w:rsidP="00596BE2">
            <w:pPr>
              <w:spacing w:line="276" w:lineRule="auto"/>
              <w:jc w:val="both"/>
              <w:rPr>
                <w:rFonts w:ascii="Times New Roman" w:hAnsi="Times New Roman" w:cs="Times New Roman"/>
                <w:b/>
              </w:rPr>
            </w:pPr>
          </w:p>
        </w:tc>
      </w:tr>
      <w:tr w:rsidR="0094333D" w:rsidRPr="001C0E87" w:rsidTr="00596BE2">
        <w:tc>
          <w:tcPr>
            <w:tcW w:w="3060" w:type="dxa"/>
          </w:tcPr>
          <w:p w:rsidR="0094333D" w:rsidRPr="0094333D" w:rsidRDefault="0094333D" w:rsidP="0094333D">
            <w:pPr>
              <w:spacing w:line="276" w:lineRule="auto"/>
              <w:rPr>
                <w:rFonts w:ascii="Times New Roman" w:hAnsi="Times New Roman" w:cs="Times New Roman"/>
                <w:sz w:val="20"/>
                <w:szCs w:val="20"/>
              </w:rPr>
            </w:pPr>
            <w:r w:rsidRPr="0094333D">
              <w:rPr>
                <w:rFonts w:ascii="Times New Roman" w:hAnsi="Times New Roman" w:cs="Times New Roman"/>
                <w:b/>
                <w:sz w:val="20"/>
                <w:szCs w:val="20"/>
              </w:rPr>
              <w:t>Kriteri 5:</w:t>
            </w:r>
            <w:r w:rsidRPr="0094333D">
              <w:rPr>
                <w:rFonts w:ascii="Times New Roman" w:hAnsi="Times New Roman" w:cs="Times New Roman"/>
                <w:sz w:val="20"/>
                <w:szCs w:val="20"/>
              </w:rPr>
              <w:t xml:space="preserve"> Programet e studimeve specializuese afatgjata në fushën e mjekësisë synojnë të plotësojnë kërkesat  e  tregut  të  punës  në  përputhje  me  nevojat  për spe</w:t>
            </w:r>
            <w:r w:rsidR="00D248C4">
              <w:rPr>
                <w:rFonts w:ascii="Times New Roman" w:hAnsi="Times New Roman" w:cs="Times New Roman"/>
                <w:sz w:val="20"/>
                <w:szCs w:val="20"/>
              </w:rPr>
              <w:t>cialistë në fushën e mjekësisë.</w:t>
            </w:r>
          </w:p>
        </w:tc>
        <w:tc>
          <w:tcPr>
            <w:tcW w:w="6660" w:type="dxa"/>
            <w:gridSpan w:val="4"/>
          </w:tcPr>
          <w:p w:rsidR="0094333D" w:rsidRPr="001C0E87" w:rsidRDefault="0094333D" w:rsidP="00596BE2">
            <w:pPr>
              <w:spacing w:line="276" w:lineRule="auto"/>
              <w:jc w:val="both"/>
              <w:rPr>
                <w:rFonts w:ascii="Times New Roman" w:hAnsi="Times New Roman" w:cs="Times New Roman"/>
                <w:b/>
              </w:rPr>
            </w:pPr>
          </w:p>
        </w:tc>
      </w:tr>
      <w:tr w:rsidR="0094333D" w:rsidRPr="001C0E87" w:rsidTr="00596BE2">
        <w:tc>
          <w:tcPr>
            <w:tcW w:w="3060" w:type="dxa"/>
          </w:tcPr>
          <w:p w:rsidR="0094333D" w:rsidRPr="0094333D" w:rsidRDefault="0094333D" w:rsidP="00D248C4">
            <w:pPr>
              <w:spacing w:line="276" w:lineRule="auto"/>
              <w:rPr>
                <w:rFonts w:ascii="Times New Roman" w:hAnsi="Times New Roman" w:cs="Times New Roman"/>
                <w:sz w:val="20"/>
                <w:szCs w:val="20"/>
              </w:rPr>
            </w:pPr>
            <w:r w:rsidRPr="0094333D">
              <w:rPr>
                <w:rFonts w:ascii="Times New Roman" w:hAnsi="Times New Roman" w:cs="Times New Roman"/>
                <w:b/>
                <w:sz w:val="20"/>
                <w:szCs w:val="20"/>
              </w:rPr>
              <w:t>Kriteri 6:</w:t>
            </w:r>
            <w:r w:rsidRPr="0094333D">
              <w:rPr>
                <w:rFonts w:ascii="Times New Roman" w:hAnsi="Times New Roman" w:cs="Times New Roman"/>
                <w:sz w:val="20"/>
                <w:szCs w:val="20"/>
              </w:rPr>
              <w:t xml:space="preserve"> Numri i përgjithshëm i specializantëve dhe numri i atyre që e ndjekin këtë program studimi çdo vit përcaktohet në përputhje me politikat shtetërore të zhvillimit të fushës së shëndetësisë dhe kapacitetet pritëse të Institucioneve të arsimit të lartë dhe strukturave shëndetësore të përfshira në rrjetin formues (në varësi kapaciteteve pritëse akademike/prof</w:t>
            </w:r>
            <w:r w:rsidR="00D248C4">
              <w:rPr>
                <w:rFonts w:ascii="Times New Roman" w:hAnsi="Times New Roman" w:cs="Times New Roman"/>
                <w:sz w:val="20"/>
                <w:szCs w:val="20"/>
              </w:rPr>
              <w:t>esionale dhe infrastrukturore).</w:t>
            </w:r>
          </w:p>
        </w:tc>
        <w:tc>
          <w:tcPr>
            <w:tcW w:w="6660" w:type="dxa"/>
            <w:gridSpan w:val="4"/>
          </w:tcPr>
          <w:p w:rsidR="0094333D" w:rsidRPr="001C0E87" w:rsidRDefault="0094333D" w:rsidP="00596BE2">
            <w:pPr>
              <w:spacing w:line="276" w:lineRule="auto"/>
              <w:jc w:val="both"/>
              <w:rPr>
                <w:rFonts w:ascii="Times New Roman" w:hAnsi="Times New Roman" w:cs="Times New Roman"/>
                <w:b/>
              </w:rPr>
            </w:pPr>
          </w:p>
        </w:tc>
      </w:tr>
      <w:tr w:rsidR="007B7AF7" w:rsidRPr="001C0E87" w:rsidTr="00596BE2">
        <w:trPr>
          <w:trHeight w:val="315"/>
        </w:trPr>
        <w:tc>
          <w:tcPr>
            <w:tcW w:w="3060" w:type="dxa"/>
            <w:vMerge w:val="restart"/>
            <w:shd w:val="clear" w:color="auto" w:fill="F7CAAC" w:themeFill="accent2" w:themeFillTint="66"/>
          </w:tcPr>
          <w:p w:rsidR="007B7AF7" w:rsidRPr="001C0E87" w:rsidRDefault="007B7AF7" w:rsidP="00596BE2">
            <w:pPr>
              <w:spacing w:line="276" w:lineRule="auto"/>
              <w:rPr>
                <w:rFonts w:ascii="Times New Roman" w:hAnsi="Times New Roman" w:cs="Times New Roman"/>
                <w:b/>
              </w:rPr>
            </w:pPr>
            <w:r w:rsidRPr="001C0E87">
              <w:rPr>
                <w:rFonts w:ascii="Times New Roman" w:hAnsi="Times New Roman" w:cs="Times New Roman"/>
                <w:b/>
              </w:rPr>
              <w:lastRenderedPageBreak/>
              <w:t>Shkalla e përmbushjes së standardit</w:t>
            </w:r>
          </w:p>
        </w:tc>
        <w:tc>
          <w:tcPr>
            <w:tcW w:w="1530" w:type="dxa"/>
            <w:shd w:val="clear" w:color="auto" w:fill="FF0000"/>
          </w:tcPr>
          <w:p w:rsidR="007B7AF7" w:rsidRPr="001C0E87" w:rsidRDefault="007B7AF7" w:rsidP="00596BE2">
            <w:pPr>
              <w:spacing w:line="276" w:lineRule="auto"/>
              <w:jc w:val="both"/>
              <w:rPr>
                <w:rFonts w:ascii="Times New Roman" w:hAnsi="Times New Roman" w:cs="Times New Roman"/>
                <w:b/>
              </w:rPr>
            </w:pPr>
            <w:r w:rsidRPr="001C0E87">
              <w:rPr>
                <w:rFonts w:ascii="Times New Roman" w:hAnsi="Times New Roman" w:cs="Times New Roman"/>
                <w:b/>
              </w:rPr>
              <w:t>Nuk përmbushet</w:t>
            </w:r>
          </w:p>
        </w:tc>
        <w:tc>
          <w:tcPr>
            <w:tcW w:w="1530" w:type="dxa"/>
            <w:shd w:val="clear" w:color="auto" w:fill="FF6600"/>
          </w:tcPr>
          <w:p w:rsidR="007B7AF7" w:rsidRPr="001C0E87" w:rsidRDefault="007B7AF7" w:rsidP="00596BE2">
            <w:pPr>
              <w:spacing w:line="276" w:lineRule="auto"/>
              <w:jc w:val="both"/>
              <w:rPr>
                <w:rFonts w:ascii="Times New Roman" w:hAnsi="Times New Roman" w:cs="Times New Roman"/>
                <w:b/>
              </w:rPr>
            </w:pPr>
            <w:r w:rsidRPr="001C0E87">
              <w:rPr>
                <w:rFonts w:ascii="Times New Roman" w:hAnsi="Times New Roman" w:cs="Times New Roman"/>
                <w:b/>
              </w:rPr>
              <w:t>Përmbushet pjesërisht</w:t>
            </w:r>
          </w:p>
        </w:tc>
        <w:tc>
          <w:tcPr>
            <w:tcW w:w="1710" w:type="dxa"/>
            <w:shd w:val="clear" w:color="auto" w:fill="CCCC00"/>
          </w:tcPr>
          <w:p w:rsidR="007B7AF7" w:rsidRPr="001C0E87" w:rsidRDefault="007B7AF7" w:rsidP="00596BE2">
            <w:pPr>
              <w:spacing w:line="276" w:lineRule="auto"/>
              <w:jc w:val="both"/>
              <w:rPr>
                <w:rFonts w:ascii="Times New Roman" w:hAnsi="Times New Roman" w:cs="Times New Roman"/>
                <w:b/>
              </w:rPr>
            </w:pPr>
            <w:r w:rsidRPr="001C0E87">
              <w:rPr>
                <w:rFonts w:ascii="Times New Roman" w:hAnsi="Times New Roman" w:cs="Times New Roman"/>
                <w:b/>
              </w:rPr>
              <w:t>Përmbushet krye</w:t>
            </w:r>
            <w:r w:rsidRPr="001C0E87">
              <w:rPr>
                <w:rFonts w:ascii="Times New Roman" w:hAnsi="Times New Roman" w:cs="Times New Roman"/>
                <w:b/>
                <w:shd w:val="clear" w:color="auto" w:fill="CCCC00"/>
              </w:rPr>
              <w:t>s</w:t>
            </w:r>
            <w:r w:rsidRPr="001C0E87">
              <w:rPr>
                <w:rFonts w:ascii="Times New Roman" w:hAnsi="Times New Roman" w:cs="Times New Roman"/>
                <w:b/>
              </w:rPr>
              <w:t>isht</w:t>
            </w:r>
          </w:p>
        </w:tc>
        <w:tc>
          <w:tcPr>
            <w:tcW w:w="1890" w:type="dxa"/>
            <w:shd w:val="clear" w:color="auto" w:fill="92D050"/>
          </w:tcPr>
          <w:p w:rsidR="007B7AF7" w:rsidRPr="001C0E87" w:rsidRDefault="007B7AF7" w:rsidP="00596BE2">
            <w:pPr>
              <w:spacing w:line="276" w:lineRule="auto"/>
              <w:jc w:val="both"/>
              <w:rPr>
                <w:rFonts w:ascii="Times New Roman" w:hAnsi="Times New Roman" w:cs="Times New Roman"/>
                <w:b/>
              </w:rPr>
            </w:pPr>
            <w:r w:rsidRPr="001C0E87">
              <w:rPr>
                <w:rFonts w:ascii="Times New Roman" w:hAnsi="Times New Roman" w:cs="Times New Roman"/>
                <w:b/>
              </w:rPr>
              <w:t>Përmbushet plotësisht</w:t>
            </w:r>
          </w:p>
        </w:tc>
      </w:tr>
      <w:tr w:rsidR="007B7AF7" w:rsidRPr="001C0E87" w:rsidTr="007B7AF7">
        <w:trPr>
          <w:trHeight w:val="315"/>
        </w:trPr>
        <w:tc>
          <w:tcPr>
            <w:tcW w:w="3060" w:type="dxa"/>
            <w:vMerge/>
            <w:shd w:val="clear" w:color="auto" w:fill="F7CAAC" w:themeFill="accent2" w:themeFillTint="66"/>
          </w:tcPr>
          <w:p w:rsidR="007B7AF7" w:rsidRPr="001C0E87" w:rsidRDefault="007B7AF7" w:rsidP="00596BE2">
            <w:pPr>
              <w:spacing w:line="276" w:lineRule="auto"/>
              <w:rPr>
                <w:rFonts w:ascii="Times New Roman" w:hAnsi="Times New Roman" w:cs="Times New Roman"/>
                <w:b/>
              </w:rPr>
            </w:pPr>
          </w:p>
        </w:tc>
        <w:tc>
          <w:tcPr>
            <w:tcW w:w="1530" w:type="dxa"/>
            <w:shd w:val="clear" w:color="auto" w:fill="auto"/>
          </w:tcPr>
          <w:p w:rsidR="007B7AF7" w:rsidRPr="001C0E87" w:rsidRDefault="007B7AF7" w:rsidP="00596BE2">
            <w:pPr>
              <w:spacing w:line="276" w:lineRule="auto"/>
              <w:jc w:val="both"/>
              <w:rPr>
                <w:rFonts w:ascii="Times New Roman" w:hAnsi="Times New Roman" w:cs="Times New Roman"/>
                <w:b/>
              </w:rPr>
            </w:pPr>
          </w:p>
        </w:tc>
        <w:tc>
          <w:tcPr>
            <w:tcW w:w="1530" w:type="dxa"/>
            <w:shd w:val="clear" w:color="auto" w:fill="auto"/>
          </w:tcPr>
          <w:p w:rsidR="007B7AF7" w:rsidRPr="001C0E87" w:rsidRDefault="007B7AF7" w:rsidP="00596BE2">
            <w:pPr>
              <w:spacing w:line="276" w:lineRule="auto"/>
              <w:jc w:val="both"/>
              <w:rPr>
                <w:rFonts w:ascii="Times New Roman" w:hAnsi="Times New Roman" w:cs="Times New Roman"/>
                <w:b/>
              </w:rPr>
            </w:pPr>
          </w:p>
        </w:tc>
        <w:tc>
          <w:tcPr>
            <w:tcW w:w="1710" w:type="dxa"/>
            <w:shd w:val="clear" w:color="auto" w:fill="auto"/>
          </w:tcPr>
          <w:p w:rsidR="007B7AF7" w:rsidRPr="001C0E87" w:rsidRDefault="007B7AF7" w:rsidP="00596BE2">
            <w:pPr>
              <w:spacing w:line="276" w:lineRule="auto"/>
              <w:jc w:val="both"/>
              <w:rPr>
                <w:rFonts w:ascii="Times New Roman" w:hAnsi="Times New Roman" w:cs="Times New Roman"/>
                <w:b/>
              </w:rPr>
            </w:pPr>
          </w:p>
        </w:tc>
        <w:tc>
          <w:tcPr>
            <w:tcW w:w="1890" w:type="dxa"/>
            <w:shd w:val="clear" w:color="auto" w:fill="auto"/>
          </w:tcPr>
          <w:p w:rsidR="007B7AF7" w:rsidRPr="001C0E87" w:rsidRDefault="007B7AF7" w:rsidP="00596BE2">
            <w:pPr>
              <w:spacing w:line="276" w:lineRule="auto"/>
              <w:jc w:val="both"/>
              <w:rPr>
                <w:rFonts w:ascii="Times New Roman" w:hAnsi="Times New Roman" w:cs="Times New Roman"/>
                <w:b/>
              </w:rPr>
            </w:pPr>
          </w:p>
        </w:tc>
      </w:tr>
    </w:tbl>
    <w:p w:rsidR="00E602A2" w:rsidRDefault="00E602A2"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530"/>
        <w:gridCol w:w="1530"/>
        <w:gridCol w:w="1710"/>
        <w:gridCol w:w="1890"/>
      </w:tblGrid>
      <w:tr w:rsidR="00E602A2" w:rsidRPr="001C0E87" w:rsidTr="00596BE2">
        <w:tc>
          <w:tcPr>
            <w:tcW w:w="9720" w:type="dxa"/>
            <w:gridSpan w:val="5"/>
            <w:shd w:val="clear" w:color="auto" w:fill="F7CAAC" w:themeFill="accent2" w:themeFillTint="66"/>
          </w:tcPr>
          <w:p w:rsidR="00E602A2" w:rsidRPr="001C0E87" w:rsidRDefault="00E602A2" w:rsidP="00596BE2">
            <w:pPr>
              <w:spacing w:line="276" w:lineRule="auto"/>
              <w:jc w:val="both"/>
              <w:rPr>
                <w:rFonts w:ascii="Times New Roman" w:eastAsia="Times New Roman" w:hAnsi="Times New Roman" w:cs="Times New Roman"/>
                <w:b/>
                <w:bCs/>
                <w:lang w:val="sq-AL"/>
              </w:rPr>
            </w:pPr>
            <w:r>
              <w:rPr>
                <w:rFonts w:ascii="Times New Roman" w:eastAsia="Times New Roman" w:hAnsi="Times New Roman" w:cs="Times New Roman"/>
                <w:b/>
                <w:bCs/>
                <w:lang w:val="sq-AL"/>
              </w:rPr>
              <w:t>Standardi I.6</w:t>
            </w:r>
            <w:r w:rsidRPr="001C0E87">
              <w:rPr>
                <w:rFonts w:ascii="Times New Roman" w:eastAsia="Times New Roman" w:hAnsi="Times New Roman" w:cs="Times New Roman"/>
                <w:b/>
                <w:bCs/>
                <w:lang w:val="sq-AL"/>
              </w:rPr>
              <w:tab/>
            </w:r>
          </w:p>
          <w:p w:rsidR="00E602A2" w:rsidRPr="001C0E87" w:rsidRDefault="0094333D" w:rsidP="00596BE2">
            <w:pPr>
              <w:spacing w:line="276" w:lineRule="auto"/>
              <w:jc w:val="both"/>
              <w:rPr>
                <w:rFonts w:ascii="Times New Roman" w:hAnsi="Times New Roman" w:cs="Times New Roman"/>
                <w:b/>
              </w:rPr>
            </w:pPr>
            <w:r w:rsidRPr="0094333D">
              <w:rPr>
                <w:rFonts w:ascii="Times New Roman" w:hAnsi="Times New Roman"/>
                <w:b/>
                <w:color w:val="000000" w:themeColor="text1"/>
                <w:lang w:val="sq-AL"/>
              </w:rPr>
              <w:t>Organizimi i programit të specializimit afatgjatë është në përputhje me fushën akademike dhe në bazë specialiteti.</w:t>
            </w:r>
          </w:p>
        </w:tc>
      </w:tr>
      <w:tr w:rsidR="00E602A2" w:rsidRPr="001C0E87" w:rsidTr="00596BE2">
        <w:trPr>
          <w:trHeight w:val="422"/>
        </w:trPr>
        <w:tc>
          <w:tcPr>
            <w:tcW w:w="3060" w:type="dxa"/>
            <w:shd w:val="clear" w:color="auto" w:fill="C5E0B3" w:themeFill="accent6" w:themeFillTint="66"/>
          </w:tcPr>
          <w:p w:rsidR="00E602A2" w:rsidRPr="001C0E87" w:rsidRDefault="00E602A2" w:rsidP="00596BE2">
            <w:pPr>
              <w:spacing w:line="276" w:lineRule="auto"/>
              <w:jc w:val="both"/>
              <w:rPr>
                <w:rFonts w:ascii="Times New Roman" w:eastAsia="Times New Roman" w:hAnsi="Times New Roman" w:cs="Times New Roman"/>
                <w:b/>
                <w:bCs/>
                <w:lang w:val="sq-AL"/>
              </w:rPr>
            </w:pPr>
            <w:r w:rsidRPr="001C0E87">
              <w:rPr>
                <w:rFonts w:ascii="Times New Roman" w:eastAsia="Times New Roman" w:hAnsi="Times New Roman" w:cs="Times New Roman"/>
                <w:b/>
                <w:bCs/>
                <w:lang w:val="sq-AL"/>
              </w:rPr>
              <w:t>Kriteret</w:t>
            </w:r>
          </w:p>
        </w:tc>
        <w:tc>
          <w:tcPr>
            <w:tcW w:w="6660" w:type="dxa"/>
            <w:gridSpan w:val="4"/>
            <w:shd w:val="clear" w:color="auto" w:fill="C5E0B3" w:themeFill="accent6" w:themeFillTint="66"/>
          </w:tcPr>
          <w:p w:rsidR="00E602A2" w:rsidRPr="001C0E87" w:rsidRDefault="00E602A2" w:rsidP="00D248C4">
            <w:pPr>
              <w:spacing w:line="276" w:lineRule="auto"/>
              <w:jc w:val="center"/>
              <w:rPr>
                <w:rFonts w:ascii="Times New Roman" w:eastAsia="Times New Roman" w:hAnsi="Times New Roman" w:cs="Times New Roman"/>
                <w:b/>
                <w:bCs/>
                <w:lang w:val="sq-AL"/>
              </w:rPr>
            </w:pPr>
            <w:r w:rsidRPr="001C0E87">
              <w:rPr>
                <w:rFonts w:ascii="Times New Roman" w:eastAsia="Times New Roman" w:hAnsi="Times New Roman" w:cs="Times New Roman"/>
                <w:b/>
                <w:bCs/>
                <w:lang w:val="sq-AL"/>
              </w:rPr>
              <w:t>Vlerësimi i ekspertëve</w:t>
            </w:r>
          </w:p>
        </w:tc>
      </w:tr>
      <w:tr w:rsidR="00E602A2" w:rsidRPr="001C0E87" w:rsidTr="00596BE2">
        <w:tc>
          <w:tcPr>
            <w:tcW w:w="3060" w:type="dxa"/>
          </w:tcPr>
          <w:p w:rsidR="00E602A2" w:rsidRPr="0094333D" w:rsidRDefault="0094333D" w:rsidP="00D248C4">
            <w:pPr>
              <w:spacing w:line="276" w:lineRule="auto"/>
              <w:rPr>
                <w:rFonts w:ascii="Times New Roman" w:hAnsi="Times New Roman" w:cs="Times New Roman"/>
                <w:sz w:val="20"/>
                <w:szCs w:val="20"/>
              </w:rPr>
            </w:pPr>
            <w:r w:rsidRPr="0094333D">
              <w:rPr>
                <w:rFonts w:ascii="Times New Roman" w:hAnsi="Times New Roman" w:cs="Times New Roman"/>
                <w:b/>
                <w:sz w:val="20"/>
                <w:szCs w:val="20"/>
              </w:rPr>
              <w:t>Kriteri 1:</w:t>
            </w:r>
            <w:r w:rsidRPr="0094333D">
              <w:rPr>
                <w:rFonts w:ascii="Times New Roman" w:hAnsi="Times New Roman" w:cs="Times New Roman"/>
                <w:sz w:val="20"/>
                <w:szCs w:val="20"/>
              </w:rPr>
              <w:t xml:space="preserve"> Programi i specializimit afatgjatë organizohet në nivel njësie bazë ose shërbimi (pjesë përbërëse e departamentit) të cilat janë përgjegjës për </w:t>
            </w:r>
            <w:r w:rsidR="00D248C4">
              <w:rPr>
                <w:rFonts w:ascii="Times New Roman" w:hAnsi="Times New Roman" w:cs="Times New Roman"/>
                <w:sz w:val="20"/>
                <w:szCs w:val="20"/>
              </w:rPr>
              <w:t>mbarëvajtjen dhe ecurinë e tij.</w:t>
            </w:r>
          </w:p>
        </w:tc>
        <w:tc>
          <w:tcPr>
            <w:tcW w:w="6660" w:type="dxa"/>
            <w:gridSpan w:val="4"/>
          </w:tcPr>
          <w:p w:rsidR="00E602A2" w:rsidRPr="001C0E87" w:rsidRDefault="00E602A2" w:rsidP="00596BE2">
            <w:pPr>
              <w:spacing w:line="276" w:lineRule="auto"/>
              <w:jc w:val="both"/>
              <w:rPr>
                <w:rFonts w:ascii="Times New Roman" w:hAnsi="Times New Roman" w:cs="Times New Roman"/>
                <w:b/>
              </w:rPr>
            </w:pPr>
          </w:p>
        </w:tc>
      </w:tr>
      <w:tr w:rsidR="00E602A2" w:rsidRPr="001C0E87" w:rsidTr="00596BE2">
        <w:tc>
          <w:tcPr>
            <w:tcW w:w="3060" w:type="dxa"/>
          </w:tcPr>
          <w:p w:rsidR="00E602A2" w:rsidRPr="0094333D" w:rsidRDefault="0094333D" w:rsidP="00D248C4">
            <w:pPr>
              <w:spacing w:line="276" w:lineRule="auto"/>
              <w:rPr>
                <w:rFonts w:ascii="Times New Roman" w:hAnsi="Times New Roman" w:cs="Times New Roman"/>
                <w:sz w:val="20"/>
                <w:szCs w:val="20"/>
              </w:rPr>
            </w:pPr>
            <w:r w:rsidRPr="0094333D">
              <w:rPr>
                <w:rFonts w:ascii="Times New Roman" w:hAnsi="Times New Roman" w:cs="Times New Roman"/>
                <w:b/>
                <w:sz w:val="20"/>
                <w:szCs w:val="20"/>
              </w:rPr>
              <w:t>Kriteri 2:</w:t>
            </w:r>
            <w:r w:rsidRPr="0094333D">
              <w:rPr>
                <w:rFonts w:ascii="Times New Roman" w:hAnsi="Times New Roman" w:cs="Times New Roman"/>
                <w:sz w:val="20"/>
                <w:szCs w:val="20"/>
              </w:rPr>
              <w:t xml:space="preserve"> Njësia përgjegjëse ka profilin, përvojën, kapacitetet dhe burimet e duhura në fushën akademike e mjekësore të specialitetit për ofrimin</w:t>
            </w:r>
            <w:r w:rsidR="00D248C4">
              <w:rPr>
                <w:rFonts w:ascii="Times New Roman" w:hAnsi="Times New Roman" w:cs="Times New Roman"/>
                <w:sz w:val="20"/>
                <w:szCs w:val="20"/>
              </w:rPr>
              <w:t xml:space="preserve"> e programit të specializimit. </w:t>
            </w:r>
          </w:p>
        </w:tc>
        <w:tc>
          <w:tcPr>
            <w:tcW w:w="6660" w:type="dxa"/>
            <w:gridSpan w:val="4"/>
          </w:tcPr>
          <w:p w:rsidR="00E602A2" w:rsidRPr="001C0E87" w:rsidRDefault="00E602A2" w:rsidP="00596BE2">
            <w:pPr>
              <w:spacing w:line="276" w:lineRule="auto"/>
              <w:jc w:val="both"/>
              <w:rPr>
                <w:rFonts w:ascii="Times New Roman" w:hAnsi="Times New Roman" w:cs="Times New Roman"/>
                <w:b/>
              </w:rPr>
            </w:pPr>
          </w:p>
        </w:tc>
      </w:tr>
      <w:tr w:rsidR="0094333D" w:rsidRPr="001C0E87" w:rsidTr="00596BE2">
        <w:tc>
          <w:tcPr>
            <w:tcW w:w="3060" w:type="dxa"/>
          </w:tcPr>
          <w:p w:rsidR="0094333D" w:rsidRPr="0094333D" w:rsidRDefault="0094333D" w:rsidP="0094333D">
            <w:pPr>
              <w:spacing w:line="276" w:lineRule="auto"/>
              <w:rPr>
                <w:rFonts w:ascii="Times New Roman" w:hAnsi="Times New Roman" w:cs="Times New Roman"/>
                <w:sz w:val="20"/>
                <w:szCs w:val="20"/>
              </w:rPr>
            </w:pPr>
            <w:r w:rsidRPr="0094333D">
              <w:rPr>
                <w:rFonts w:ascii="Times New Roman" w:hAnsi="Times New Roman" w:cs="Times New Roman"/>
                <w:b/>
                <w:sz w:val="20"/>
                <w:szCs w:val="20"/>
              </w:rPr>
              <w:t>Kriteri 3:</w:t>
            </w:r>
            <w:r w:rsidRPr="0094333D">
              <w:rPr>
                <w:rFonts w:ascii="Times New Roman" w:hAnsi="Times New Roman" w:cs="Times New Roman"/>
                <w:sz w:val="20"/>
                <w:szCs w:val="20"/>
              </w:rPr>
              <w:t xml:space="preserve"> Programet e studimit mbështeten mbi objektiva të qartë profesionalë dhe janë të integruar me vepri</w:t>
            </w:r>
            <w:r w:rsidR="00D248C4">
              <w:rPr>
                <w:rFonts w:ascii="Times New Roman" w:hAnsi="Times New Roman" w:cs="Times New Roman"/>
                <w:sz w:val="20"/>
                <w:szCs w:val="20"/>
              </w:rPr>
              <w:t>mtaritë klinike/diagnostikuese.</w:t>
            </w:r>
          </w:p>
        </w:tc>
        <w:tc>
          <w:tcPr>
            <w:tcW w:w="6660" w:type="dxa"/>
            <w:gridSpan w:val="4"/>
          </w:tcPr>
          <w:p w:rsidR="0094333D" w:rsidRPr="001C0E87" w:rsidRDefault="0094333D" w:rsidP="00596BE2">
            <w:pPr>
              <w:spacing w:line="276" w:lineRule="auto"/>
              <w:jc w:val="both"/>
              <w:rPr>
                <w:rFonts w:ascii="Times New Roman" w:hAnsi="Times New Roman" w:cs="Times New Roman"/>
                <w:b/>
              </w:rPr>
            </w:pPr>
          </w:p>
        </w:tc>
      </w:tr>
      <w:tr w:rsidR="0094333D" w:rsidRPr="001C0E87" w:rsidTr="00596BE2">
        <w:tc>
          <w:tcPr>
            <w:tcW w:w="3060" w:type="dxa"/>
          </w:tcPr>
          <w:p w:rsidR="0094333D" w:rsidRPr="0094333D" w:rsidRDefault="0094333D" w:rsidP="00D248C4">
            <w:pPr>
              <w:spacing w:line="276" w:lineRule="auto"/>
              <w:rPr>
                <w:rFonts w:ascii="Times New Roman" w:hAnsi="Times New Roman" w:cs="Times New Roman"/>
                <w:sz w:val="20"/>
                <w:szCs w:val="20"/>
              </w:rPr>
            </w:pPr>
            <w:r w:rsidRPr="0094333D">
              <w:rPr>
                <w:rFonts w:ascii="Times New Roman" w:hAnsi="Times New Roman" w:cs="Times New Roman"/>
                <w:b/>
                <w:sz w:val="20"/>
                <w:szCs w:val="20"/>
              </w:rPr>
              <w:t>Kriteri 4:</w:t>
            </w:r>
            <w:r w:rsidRPr="0094333D">
              <w:rPr>
                <w:rFonts w:ascii="Times New Roman" w:hAnsi="Times New Roman" w:cs="Times New Roman"/>
                <w:sz w:val="20"/>
                <w:szCs w:val="20"/>
              </w:rPr>
              <w:t xml:space="preserve"> Fusha specifike e programit të specializimit afatgjatë është në përputhje me fushën akademike të specialitetet të njësisë përgjegjëse (departament/shërbim) për programin e studimit, sipas klasifikimit/kodifikimit të programeve të studimit në përputhje me direktivat dhe u</w:t>
            </w:r>
            <w:r w:rsidR="00D248C4">
              <w:rPr>
                <w:rFonts w:ascii="Times New Roman" w:hAnsi="Times New Roman" w:cs="Times New Roman"/>
                <w:sz w:val="20"/>
                <w:szCs w:val="20"/>
              </w:rPr>
              <w:t>dhëzimet kombëtare e europiane.</w:t>
            </w:r>
          </w:p>
        </w:tc>
        <w:tc>
          <w:tcPr>
            <w:tcW w:w="6660" w:type="dxa"/>
            <w:gridSpan w:val="4"/>
          </w:tcPr>
          <w:p w:rsidR="0094333D" w:rsidRPr="001C0E87" w:rsidRDefault="0094333D" w:rsidP="00596BE2">
            <w:pPr>
              <w:spacing w:line="276" w:lineRule="auto"/>
              <w:jc w:val="both"/>
              <w:rPr>
                <w:rFonts w:ascii="Times New Roman" w:hAnsi="Times New Roman" w:cs="Times New Roman"/>
                <w:b/>
              </w:rPr>
            </w:pPr>
          </w:p>
        </w:tc>
      </w:tr>
      <w:tr w:rsidR="0094333D" w:rsidRPr="001C0E87" w:rsidTr="00596BE2">
        <w:tc>
          <w:tcPr>
            <w:tcW w:w="3060" w:type="dxa"/>
          </w:tcPr>
          <w:p w:rsidR="0094333D" w:rsidRPr="0094333D" w:rsidRDefault="0094333D" w:rsidP="0094333D">
            <w:pPr>
              <w:spacing w:line="276" w:lineRule="auto"/>
              <w:rPr>
                <w:rFonts w:ascii="Times New Roman" w:hAnsi="Times New Roman" w:cs="Times New Roman"/>
                <w:sz w:val="20"/>
                <w:szCs w:val="20"/>
              </w:rPr>
            </w:pPr>
            <w:r w:rsidRPr="0094333D">
              <w:rPr>
                <w:rFonts w:ascii="Times New Roman" w:hAnsi="Times New Roman" w:cs="Times New Roman"/>
                <w:b/>
                <w:sz w:val="20"/>
                <w:szCs w:val="20"/>
              </w:rPr>
              <w:t>Kriteri 5:</w:t>
            </w:r>
            <w:r w:rsidRPr="0094333D">
              <w:rPr>
                <w:rFonts w:ascii="Times New Roman" w:hAnsi="Times New Roman" w:cs="Times New Roman"/>
                <w:sz w:val="20"/>
                <w:szCs w:val="20"/>
              </w:rPr>
              <w:t xml:space="preserve"> Në rastet kur programi ofrohet në bashkëpunim me institucione te tjera, fusha e specifike e programit të specializimit është në përputhje me fushën akademike e të specialitetit të njësisë/ve përgjegjë</w:t>
            </w:r>
            <w:r w:rsidR="00D248C4">
              <w:rPr>
                <w:rFonts w:ascii="Times New Roman" w:hAnsi="Times New Roman" w:cs="Times New Roman"/>
                <w:sz w:val="20"/>
                <w:szCs w:val="20"/>
              </w:rPr>
              <w:t>se në institucionet respektive.</w:t>
            </w:r>
          </w:p>
        </w:tc>
        <w:tc>
          <w:tcPr>
            <w:tcW w:w="6660" w:type="dxa"/>
            <w:gridSpan w:val="4"/>
          </w:tcPr>
          <w:p w:rsidR="0094333D" w:rsidRPr="001C0E87" w:rsidRDefault="0094333D" w:rsidP="00596BE2">
            <w:pPr>
              <w:spacing w:line="276" w:lineRule="auto"/>
              <w:jc w:val="both"/>
              <w:rPr>
                <w:rFonts w:ascii="Times New Roman" w:hAnsi="Times New Roman" w:cs="Times New Roman"/>
                <w:b/>
              </w:rPr>
            </w:pPr>
          </w:p>
        </w:tc>
      </w:tr>
      <w:tr w:rsidR="007B7AF7" w:rsidRPr="001C0E87" w:rsidTr="00596BE2">
        <w:trPr>
          <w:trHeight w:val="315"/>
        </w:trPr>
        <w:tc>
          <w:tcPr>
            <w:tcW w:w="3060" w:type="dxa"/>
            <w:vMerge w:val="restart"/>
            <w:shd w:val="clear" w:color="auto" w:fill="F7CAAC" w:themeFill="accent2" w:themeFillTint="66"/>
          </w:tcPr>
          <w:p w:rsidR="007B7AF7" w:rsidRPr="001C0E87" w:rsidRDefault="007B7AF7" w:rsidP="00596BE2">
            <w:pPr>
              <w:spacing w:line="276" w:lineRule="auto"/>
              <w:rPr>
                <w:rFonts w:ascii="Times New Roman" w:hAnsi="Times New Roman" w:cs="Times New Roman"/>
                <w:b/>
              </w:rPr>
            </w:pPr>
            <w:r w:rsidRPr="001C0E87">
              <w:rPr>
                <w:rFonts w:ascii="Times New Roman" w:hAnsi="Times New Roman" w:cs="Times New Roman"/>
                <w:b/>
              </w:rPr>
              <w:t>Shkalla e përmbushjes së standardit</w:t>
            </w:r>
          </w:p>
        </w:tc>
        <w:tc>
          <w:tcPr>
            <w:tcW w:w="1530" w:type="dxa"/>
            <w:shd w:val="clear" w:color="auto" w:fill="FF0000"/>
          </w:tcPr>
          <w:p w:rsidR="007B7AF7" w:rsidRPr="001C0E87" w:rsidRDefault="007B7AF7" w:rsidP="00596BE2">
            <w:pPr>
              <w:spacing w:line="276" w:lineRule="auto"/>
              <w:jc w:val="both"/>
              <w:rPr>
                <w:rFonts w:ascii="Times New Roman" w:hAnsi="Times New Roman" w:cs="Times New Roman"/>
                <w:b/>
              </w:rPr>
            </w:pPr>
            <w:r w:rsidRPr="001C0E87">
              <w:rPr>
                <w:rFonts w:ascii="Times New Roman" w:hAnsi="Times New Roman" w:cs="Times New Roman"/>
                <w:b/>
              </w:rPr>
              <w:t>Nuk përmbushet</w:t>
            </w:r>
          </w:p>
        </w:tc>
        <w:tc>
          <w:tcPr>
            <w:tcW w:w="1530" w:type="dxa"/>
            <w:shd w:val="clear" w:color="auto" w:fill="FF6600"/>
          </w:tcPr>
          <w:p w:rsidR="007B7AF7" w:rsidRPr="001C0E87" w:rsidRDefault="007B7AF7" w:rsidP="00596BE2">
            <w:pPr>
              <w:spacing w:line="276" w:lineRule="auto"/>
              <w:jc w:val="both"/>
              <w:rPr>
                <w:rFonts w:ascii="Times New Roman" w:hAnsi="Times New Roman" w:cs="Times New Roman"/>
                <w:b/>
              </w:rPr>
            </w:pPr>
            <w:r w:rsidRPr="001C0E87">
              <w:rPr>
                <w:rFonts w:ascii="Times New Roman" w:hAnsi="Times New Roman" w:cs="Times New Roman"/>
                <w:b/>
              </w:rPr>
              <w:t>Përmbushet pjesërisht</w:t>
            </w:r>
          </w:p>
        </w:tc>
        <w:tc>
          <w:tcPr>
            <w:tcW w:w="1710" w:type="dxa"/>
            <w:shd w:val="clear" w:color="auto" w:fill="CCCC00"/>
          </w:tcPr>
          <w:p w:rsidR="007B7AF7" w:rsidRPr="001C0E87" w:rsidRDefault="007B7AF7" w:rsidP="00596BE2">
            <w:pPr>
              <w:spacing w:line="276" w:lineRule="auto"/>
              <w:jc w:val="both"/>
              <w:rPr>
                <w:rFonts w:ascii="Times New Roman" w:hAnsi="Times New Roman" w:cs="Times New Roman"/>
                <w:b/>
              </w:rPr>
            </w:pPr>
            <w:r w:rsidRPr="001C0E87">
              <w:rPr>
                <w:rFonts w:ascii="Times New Roman" w:hAnsi="Times New Roman" w:cs="Times New Roman"/>
                <w:b/>
              </w:rPr>
              <w:t>Përmbushet krye</w:t>
            </w:r>
            <w:r w:rsidRPr="001C0E87">
              <w:rPr>
                <w:rFonts w:ascii="Times New Roman" w:hAnsi="Times New Roman" w:cs="Times New Roman"/>
                <w:b/>
                <w:shd w:val="clear" w:color="auto" w:fill="CCCC00"/>
              </w:rPr>
              <w:t>s</w:t>
            </w:r>
            <w:r w:rsidRPr="001C0E87">
              <w:rPr>
                <w:rFonts w:ascii="Times New Roman" w:hAnsi="Times New Roman" w:cs="Times New Roman"/>
                <w:b/>
              </w:rPr>
              <w:t>isht</w:t>
            </w:r>
          </w:p>
        </w:tc>
        <w:tc>
          <w:tcPr>
            <w:tcW w:w="1890" w:type="dxa"/>
            <w:shd w:val="clear" w:color="auto" w:fill="92D050"/>
          </w:tcPr>
          <w:p w:rsidR="007B7AF7" w:rsidRPr="001C0E87" w:rsidRDefault="007B7AF7" w:rsidP="00596BE2">
            <w:pPr>
              <w:spacing w:line="276" w:lineRule="auto"/>
              <w:jc w:val="both"/>
              <w:rPr>
                <w:rFonts w:ascii="Times New Roman" w:hAnsi="Times New Roman" w:cs="Times New Roman"/>
                <w:b/>
              </w:rPr>
            </w:pPr>
            <w:r w:rsidRPr="001C0E87">
              <w:rPr>
                <w:rFonts w:ascii="Times New Roman" w:hAnsi="Times New Roman" w:cs="Times New Roman"/>
                <w:b/>
              </w:rPr>
              <w:t>Përmbushet plotësisht</w:t>
            </w:r>
          </w:p>
        </w:tc>
      </w:tr>
      <w:tr w:rsidR="007B7AF7" w:rsidRPr="001C0E87" w:rsidTr="007B7AF7">
        <w:trPr>
          <w:trHeight w:val="315"/>
        </w:trPr>
        <w:tc>
          <w:tcPr>
            <w:tcW w:w="3060" w:type="dxa"/>
            <w:vMerge/>
            <w:shd w:val="clear" w:color="auto" w:fill="F7CAAC" w:themeFill="accent2" w:themeFillTint="66"/>
          </w:tcPr>
          <w:p w:rsidR="007B7AF7" w:rsidRPr="001C0E87" w:rsidRDefault="007B7AF7" w:rsidP="00596BE2">
            <w:pPr>
              <w:spacing w:line="276" w:lineRule="auto"/>
              <w:rPr>
                <w:rFonts w:ascii="Times New Roman" w:hAnsi="Times New Roman" w:cs="Times New Roman"/>
                <w:b/>
              </w:rPr>
            </w:pPr>
          </w:p>
        </w:tc>
        <w:tc>
          <w:tcPr>
            <w:tcW w:w="1530" w:type="dxa"/>
            <w:shd w:val="clear" w:color="auto" w:fill="auto"/>
          </w:tcPr>
          <w:p w:rsidR="007B7AF7" w:rsidRPr="001C0E87" w:rsidRDefault="007B7AF7" w:rsidP="00596BE2">
            <w:pPr>
              <w:spacing w:line="276" w:lineRule="auto"/>
              <w:jc w:val="both"/>
              <w:rPr>
                <w:rFonts w:ascii="Times New Roman" w:hAnsi="Times New Roman" w:cs="Times New Roman"/>
                <w:b/>
              </w:rPr>
            </w:pPr>
          </w:p>
        </w:tc>
        <w:tc>
          <w:tcPr>
            <w:tcW w:w="1530" w:type="dxa"/>
            <w:shd w:val="clear" w:color="auto" w:fill="auto"/>
          </w:tcPr>
          <w:p w:rsidR="007B7AF7" w:rsidRPr="001C0E87" w:rsidRDefault="007B7AF7" w:rsidP="00596BE2">
            <w:pPr>
              <w:spacing w:line="276" w:lineRule="auto"/>
              <w:jc w:val="both"/>
              <w:rPr>
                <w:rFonts w:ascii="Times New Roman" w:hAnsi="Times New Roman" w:cs="Times New Roman"/>
                <w:b/>
              </w:rPr>
            </w:pPr>
          </w:p>
        </w:tc>
        <w:tc>
          <w:tcPr>
            <w:tcW w:w="1710" w:type="dxa"/>
            <w:shd w:val="clear" w:color="auto" w:fill="auto"/>
          </w:tcPr>
          <w:p w:rsidR="007B7AF7" w:rsidRPr="001C0E87" w:rsidRDefault="007B7AF7" w:rsidP="00596BE2">
            <w:pPr>
              <w:spacing w:line="276" w:lineRule="auto"/>
              <w:jc w:val="both"/>
              <w:rPr>
                <w:rFonts w:ascii="Times New Roman" w:hAnsi="Times New Roman" w:cs="Times New Roman"/>
                <w:b/>
              </w:rPr>
            </w:pPr>
          </w:p>
        </w:tc>
        <w:tc>
          <w:tcPr>
            <w:tcW w:w="1890" w:type="dxa"/>
            <w:shd w:val="clear" w:color="auto" w:fill="auto"/>
          </w:tcPr>
          <w:p w:rsidR="007B7AF7" w:rsidRPr="001C0E87" w:rsidRDefault="007B7AF7" w:rsidP="00596BE2">
            <w:pPr>
              <w:spacing w:line="276" w:lineRule="auto"/>
              <w:jc w:val="both"/>
              <w:rPr>
                <w:rFonts w:ascii="Times New Roman" w:hAnsi="Times New Roman" w:cs="Times New Roman"/>
                <w:b/>
              </w:rPr>
            </w:pPr>
          </w:p>
        </w:tc>
      </w:tr>
    </w:tbl>
    <w:p w:rsidR="00E602A2" w:rsidRPr="001C0E87" w:rsidRDefault="00E602A2"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620"/>
        <w:gridCol w:w="1440"/>
        <w:gridCol w:w="1710"/>
        <w:gridCol w:w="1890"/>
      </w:tblGrid>
      <w:tr w:rsidR="00C1352C" w:rsidRPr="001C0E87" w:rsidTr="005269F1">
        <w:trPr>
          <w:trHeight w:val="315"/>
        </w:trPr>
        <w:tc>
          <w:tcPr>
            <w:tcW w:w="3060" w:type="dxa"/>
            <w:vMerge w:val="restart"/>
          </w:tcPr>
          <w:p w:rsidR="00C1352C" w:rsidRPr="001C0E87" w:rsidRDefault="00C1352C" w:rsidP="00243BA4">
            <w:pPr>
              <w:spacing w:line="276" w:lineRule="auto"/>
              <w:rPr>
                <w:rFonts w:ascii="Times New Roman" w:hAnsi="Times New Roman" w:cs="Times New Roman"/>
                <w:b/>
              </w:rPr>
            </w:pPr>
            <w:r w:rsidRPr="001C0E87">
              <w:rPr>
                <w:rFonts w:ascii="Times New Roman" w:hAnsi="Times New Roman" w:cs="Times New Roman"/>
                <w:b/>
              </w:rPr>
              <w:lastRenderedPageBreak/>
              <w:t>Shkalla e përmbushjes së standardeve të fushës I</w:t>
            </w:r>
          </w:p>
        </w:tc>
        <w:tc>
          <w:tcPr>
            <w:tcW w:w="1620" w:type="dxa"/>
            <w:shd w:val="clear" w:color="auto" w:fill="FF000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Nuk përmbushet</w:t>
            </w:r>
          </w:p>
        </w:tc>
        <w:tc>
          <w:tcPr>
            <w:tcW w:w="1440" w:type="dxa"/>
            <w:shd w:val="clear" w:color="auto" w:fill="FF660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Përmbushet pjesërisht</w:t>
            </w:r>
          </w:p>
        </w:tc>
        <w:tc>
          <w:tcPr>
            <w:tcW w:w="1710" w:type="dxa"/>
            <w:shd w:val="clear" w:color="auto" w:fill="CCCC0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Përmbushet kryesisht</w:t>
            </w:r>
          </w:p>
        </w:tc>
        <w:tc>
          <w:tcPr>
            <w:tcW w:w="1890" w:type="dxa"/>
            <w:shd w:val="clear" w:color="auto" w:fill="92D05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Përmbushet plotësisht</w:t>
            </w:r>
          </w:p>
        </w:tc>
      </w:tr>
      <w:tr w:rsidR="00C1352C" w:rsidRPr="001C0E87" w:rsidTr="005269F1">
        <w:trPr>
          <w:trHeight w:val="315"/>
        </w:trPr>
        <w:tc>
          <w:tcPr>
            <w:tcW w:w="3060" w:type="dxa"/>
            <w:vMerge/>
          </w:tcPr>
          <w:p w:rsidR="00C1352C" w:rsidRPr="001C0E87" w:rsidRDefault="00C1352C" w:rsidP="00243BA4">
            <w:pPr>
              <w:spacing w:line="276" w:lineRule="auto"/>
              <w:rPr>
                <w:rFonts w:ascii="Times New Roman" w:hAnsi="Times New Roman" w:cs="Times New Roman"/>
                <w:b/>
              </w:rPr>
            </w:pPr>
          </w:p>
        </w:tc>
        <w:tc>
          <w:tcPr>
            <w:tcW w:w="1620" w:type="dxa"/>
          </w:tcPr>
          <w:p w:rsidR="00C1352C" w:rsidRPr="001C0E87" w:rsidRDefault="00C1352C" w:rsidP="00243BA4">
            <w:pPr>
              <w:spacing w:line="276" w:lineRule="auto"/>
              <w:jc w:val="both"/>
              <w:rPr>
                <w:rFonts w:ascii="Times New Roman" w:hAnsi="Times New Roman" w:cs="Times New Roman"/>
                <w:b/>
              </w:rPr>
            </w:pPr>
          </w:p>
        </w:tc>
        <w:tc>
          <w:tcPr>
            <w:tcW w:w="1440" w:type="dxa"/>
          </w:tcPr>
          <w:p w:rsidR="00C1352C" w:rsidRPr="001C0E87" w:rsidRDefault="00C1352C" w:rsidP="00243BA4">
            <w:pPr>
              <w:spacing w:line="276" w:lineRule="auto"/>
              <w:jc w:val="both"/>
              <w:rPr>
                <w:rFonts w:ascii="Times New Roman" w:hAnsi="Times New Roman" w:cs="Times New Roman"/>
                <w:b/>
              </w:rPr>
            </w:pPr>
          </w:p>
        </w:tc>
        <w:tc>
          <w:tcPr>
            <w:tcW w:w="1710" w:type="dxa"/>
          </w:tcPr>
          <w:p w:rsidR="00C1352C" w:rsidRPr="001C0E87" w:rsidRDefault="00C1352C" w:rsidP="00243BA4">
            <w:pPr>
              <w:spacing w:line="276" w:lineRule="auto"/>
              <w:jc w:val="both"/>
              <w:rPr>
                <w:rFonts w:ascii="Times New Roman" w:hAnsi="Times New Roman" w:cs="Times New Roman"/>
                <w:b/>
              </w:rPr>
            </w:pPr>
          </w:p>
        </w:tc>
        <w:tc>
          <w:tcPr>
            <w:tcW w:w="1890" w:type="dxa"/>
          </w:tcPr>
          <w:p w:rsidR="00C1352C" w:rsidRPr="001C0E87" w:rsidRDefault="00C1352C" w:rsidP="00243BA4">
            <w:pPr>
              <w:spacing w:line="276" w:lineRule="auto"/>
              <w:jc w:val="both"/>
              <w:rPr>
                <w:rFonts w:ascii="Times New Roman" w:hAnsi="Times New Roman" w:cs="Times New Roman"/>
                <w:b/>
              </w:rPr>
            </w:pPr>
          </w:p>
        </w:tc>
      </w:tr>
    </w:tbl>
    <w:p w:rsidR="00C1352C" w:rsidRDefault="00C1352C" w:rsidP="00C1352C">
      <w:pPr>
        <w:spacing w:line="276" w:lineRule="auto"/>
        <w:jc w:val="both"/>
        <w:rPr>
          <w:rFonts w:ascii="Times New Roman" w:hAnsi="Times New Roman" w:cs="Times New Roman"/>
          <w:b/>
          <w:sz w:val="28"/>
          <w:szCs w:val="28"/>
        </w:rPr>
      </w:pPr>
    </w:p>
    <w:p w:rsidR="00C1352C" w:rsidRDefault="00C1352C" w:rsidP="00C1352C">
      <w:pPr>
        <w:rPr>
          <w:rFonts w:ascii="Times New Roman" w:hAnsi="Times New Roman" w:cs="Times New Roman"/>
          <w:b/>
          <w:sz w:val="28"/>
          <w:szCs w:val="28"/>
        </w:rPr>
      </w:pPr>
    </w:p>
    <w:p w:rsidR="00FE74B7" w:rsidRDefault="00FE74B7" w:rsidP="00C1352C">
      <w:pPr>
        <w:rPr>
          <w:rFonts w:ascii="Times New Roman" w:hAnsi="Times New Roman" w:cs="Times New Roman"/>
          <w:b/>
          <w:sz w:val="28"/>
          <w:szCs w:val="28"/>
        </w:rPr>
      </w:pPr>
    </w:p>
    <w:p w:rsidR="00C1352C" w:rsidRPr="00CE578C" w:rsidRDefault="002D7133" w:rsidP="00C1352C">
      <w:pPr>
        <w:pStyle w:val="ListParagraph"/>
        <w:numPr>
          <w:ilvl w:val="0"/>
          <w:numId w:val="2"/>
        </w:numPr>
        <w:spacing w:line="276" w:lineRule="auto"/>
        <w:ind w:left="540" w:hanging="450"/>
        <w:jc w:val="both"/>
        <w:rPr>
          <w:rFonts w:ascii="Times New Roman" w:hAnsi="Times New Roman" w:cs="Times New Roman"/>
          <w:b/>
          <w:sz w:val="28"/>
          <w:szCs w:val="28"/>
        </w:rPr>
      </w:pPr>
      <w:r w:rsidRPr="002D7133">
        <w:rPr>
          <w:rFonts w:ascii="Times New Roman" w:eastAsia="Times New Roman" w:hAnsi="Times New Roman" w:cs="Times New Roman"/>
          <w:b/>
          <w:bCs/>
          <w:caps/>
          <w:sz w:val="24"/>
          <w:szCs w:val="24"/>
          <w:lang w:val="sq-AL"/>
        </w:rPr>
        <w:t>ORGANIZIMI, STRUKTURA DHE ADMINISTRIMI I PROGRAMIT</w:t>
      </w:r>
    </w:p>
    <w:tbl>
      <w:tblPr>
        <w:tblStyle w:val="TableGrid"/>
        <w:tblW w:w="9720" w:type="dxa"/>
        <w:tblInd w:w="-185" w:type="dxa"/>
        <w:tblLook w:val="04A0" w:firstRow="1" w:lastRow="0" w:firstColumn="1" w:lastColumn="0" w:noHBand="0" w:noVBand="1"/>
      </w:tblPr>
      <w:tblGrid>
        <w:gridCol w:w="3154"/>
        <w:gridCol w:w="1526"/>
        <w:gridCol w:w="1440"/>
        <w:gridCol w:w="1710"/>
        <w:gridCol w:w="1890"/>
      </w:tblGrid>
      <w:tr w:rsidR="00C1352C" w:rsidRPr="00A6411D" w:rsidTr="00A6411D">
        <w:tc>
          <w:tcPr>
            <w:tcW w:w="9720" w:type="dxa"/>
            <w:gridSpan w:val="5"/>
            <w:shd w:val="clear" w:color="auto" w:fill="F7CAAC" w:themeFill="accent2" w:themeFillTint="66"/>
          </w:tcPr>
          <w:p w:rsidR="00C1352C" w:rsidRPr="00A6411D" w:rsidRDefault="00C1352C" w:rsidP="00243BA4">
            <w:pPr>
              <w:spacing w:line="276" w:lineRule="auto"/>
              <w:jc w:val="both"/>
              <w:rPr>
                <w:rFonts w:ascii="Times New Roman" w:eastAsia="Times New Roman" w:hAnsi="Times New Roman" w:cs="Times New Roman"/>
                <w:b/>
                <w:lang w:val="sq-AL"/>
              </w:rPr>
            </w:pPr>
            <w:r w:rsidRPr="00A6411D">
              <w:rPr>
                <w:rFonts w:ascii="Times New Roman" w:eastAsia="Times New Roman" w:hAnsi="Times New Roman" w:cs="Times New Roman"/>
                <w:b/>
                <w:lang w:val="sq-AL"/>
              </w:rPr>
              <w:t>Standardi II.1</w:t>
            </w:r>
            <w:r w:rsidRPr="00A6411D">
              <w:rPr>
                <w:rFonts w:ascii="Times New Roman" w:eastAsia="Times New Roman" w:hAnsi="Times New Roman" w:cs="Times New Roman"/>
                <w:b/>
                <w:lang w:val="sq-AL"/>
              </w:rPr>
              <w:tab/>
            </w:r>
          </w:p>
          <w:p w:rsidR="00C1352C" w:rsidRPr="00A6411D" w:rsidRDefault="002D7133" w:rsidP="00243BA4">
            <w:pPr>
              <w:spacing w:line="276" w:lineRule="auto"/>
              <w:jc w:val="both"/>
              <w:rPr>
                <w:rFonts w:ascii="Times New Roman" w:hAnsi="Times New Roman" w:cs="Times New Roman"/>
                <w:b/>
              </w:rPr>
            </w:pPr>
            <w:r w:rsidRPr="002D7133">
              <w:rPr>
                <w:rFonts w:ascii="Times New Roman" w:hAnsi="Times New Roman" w:cs="Times New Roman"/>
                <w:b/>
                <w:lang w:val="sq-AL"/>
              </w:rPr>
              <w:t>Organizmi i programit bazohet në rregullore dhe udhëzues të posaçëm të programit të specializimit afatgjatë</w:t>
            </w:r>
            <w:r>
              <w:rPr>
                <w:rFonts w:ascii="Times New Roman" w:hAnsi="Times New Roman" w:cs="Times New Roman"/>
                <w:b/>
                <w:lang w:val="sq-AL"/>
              </w:rPr>
              <w:t>.</w:t>
            </w:r>
          </w:p>
        </w:tc>
      </w:tr>
      <w:tr w:rsidR="00C1352C" w:rsidRPr="00A6411D" w:rsidTr="0043272C">
        <w:trPr>
          <w:trHeight w:val="350"/>
        </w:trPr>
        <w:tc>
          <w:tcPr>
            <w:tcW w:w="3154" w:type="dxa"/>
            <w:shd w:val="clear" w:color="auto" w:fill="C5E0B3" w:themeFill="accent6" w:themeFillTint="66"/>
          </w:tcPr>
          <w:p w:rsidR="00C1352C" w:rsidRPr="00A6411D" w:rsidRDefault="00C1352C" w:rsidP="00243BA4">
            <w:pPr>
              <w:spacing w:line="276" w:lineRule="auto"/>
              <w:jc w:val="both"/>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Kriteret</w:t>
            </w:r>
          </w:p>
        </w:tc>
        <w:tc>
          <w:tcPr>
            <w:tcW w:w="6566" w:type="dxa"/>
            <w:gridSpan w:val="4"/>
            <w:shd w:val="clear" w:color="auto" w:fill="C5E0B3" w:themeFill="accent6" w:themeFillTint="66"/>
          </w:tcPr>
          <w:p w:rsidR="00C1352C" w:rsidRPr="00A6411D" w:rsidRDefault="00C1352C" w:rsidP="0043272C">
            <w:pPr>
              <w:spacing w:line="276" w:lineRule="auto"/>
              <w:jc w:val="center"/>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Vlerësimi i ekspertëve</w:t>
            </w:r>
          </w:p>
        </w:tc>
      </w:tr>
      <w:tr w:rsidR="000927D7" w:rsidRPr="00A6411D" w:rsidTr="00A6411D">
        <w:tc>
          <w:tcPr>
            <w:tcW w:w="3154" w:type="dxa"/>
          </w:tcPr>
          <w:p w:rsidR="000927D7" w:rsidRPr="002D7133" w:rsidRDefault="002D7133" w:rsidP="0043272C">
            <w:pPr>
              <w:spacing w:line="276" w:lineRule="auto"/>
              <w:rPr>
                <w:rFonts w:ascii="Times New Roman" w:hAnsi="Times New Roman" w:cs="Times New Roman"/>
                <w:sz w:val="20"/>
                <w:szCs w:val="20"/>
              </w:rPr>
            </w:pPr>
            <w:r w:rsidRPr="002D7133">
              <w:rPr>
                <w:rFonts w:ascii="Times New Roman" w:hAnsi="Times New Roman" w:cs="Times New Roman"/>
                <w:b/>
                <w:sz w:val="20"/>
                <w:szCs w:val="20"/>
              </w:rPr>
              <w:t>Kriteri 1:</w:t>
            </w:r>
            <w:r w:rsidRPr="002D7133">
              <w:rPr>
                <w:rFonts w:ascii="Times New Roman" w:hAnsi="Times New Roman" w:cs="Times New Roman"/>
                <w:sz w:val="20"/>
                <w:szCs w:val="20"/>
              </w:rPr>
              <w:t xml:space="preserve"> Njësia kryesore përgjegjëse për organizimin, zhvillimin e programeve të specializimeve, përcakton në mënyrë të detajuar rregullat e organizimit e të funksionimit të programeve të specializimeve dhe i përditëson ato në funksi</w:t>
            </w:r>
            <w:r w:rsidR="0043272C">
              <w:rPr>
                <w:rFonts w:ascii="Times New Roman" w:hAnsi="Times New Roman" w:cs="Times New Roman"/>
                <w:sz w:val="20"/>
                <w:szCs w:val="20"/>
              </w:rPr>
              <w:t>on të përmirësimit të cilësisë.</w:t>
            </w:r>
          </w:p>
        </w:tc>
        <w:tc>
          <w:tcPr>
            <w:tcW w:w="6566" w:type="dxa"/>
            <w:gridSpan w:val="4"/>
          </w:tcPr>
          <w:p w:rsidR="000927D7" w:rsidRPr="00A6411D" w:rsidRDefault="000927D7" w:rsidP="00243BA4">
            <w:pPr>
              <w:spacing w:line="276" w:lineRule="auto"/>
              <w:jc w:val="both"/>
              <w:rPr>
                <w:rFonts w:ascii="Times New Roman" w:hAnsi="Times New Roman" w:cs="Times New Roman"/>
                <w:b/>
              </w:rPr>
            </w:pPr>
          </w:p>
        </w:tc>
      </w:tr>
      <w:tr w:rsidR="000927D7" w:rsidRPr="00A6411D" w:rsidTr="00A6411D">
        <w:tc>
          <w:tcPr>
            <w:tcW w:w="3154" w:type="dxa"/>
          </w:tcPr>
          <w:p w:rsidR="000927D7" w:rsidRPr="002D7133" w:rsidRDefault="002D7133" w:rsidP="0043272C">
            <w:pPr>
              <w:spacing w:line="276" w:lineRule="auto"/>
              <w:rPr>
                <w:rFonts w:ascii="Times New Roman" w:hAnsi="Times New Roman" w:cs="Times New Roman"/>
                <w:sz w:val="20"/>
                <w:szCs w:val="20"/>
              </w:rPr>
            </w:pPr>
            <w:r w:rsidRPr="002D7133">
              <w:rPr>
                <w:rFonts w:ascii="Times New Roman" w:hAnsi="Times New Roman" w:cs="Times New Roman"/>
                <w:b/>
                <w:sz w:val="20"/>
                <w:szCs w:val="20"/>
              </w:rPr>
              <w:t>Kriteri 2:</w:t>
            </w:r>
            <w:r w:rsidRPr="002D7133">
              <w:rPr>
                <w:rFonts w:ascii="Times New Roman" w:hAnsi="Times New Roman" w:cs="Times New Roman"/>
                <w:sz w:val="20"/>
                <w:szCs w:val="20"/>
              </w:rPr>
              <w:t xml:space="preserve"> Elementët e organizimi të programit, përgjegjësitë, të drejtat dhe detyrimet, përcaktohen në rregulloren e specializimeve afatgjate dhe në akte të tjera</w:t>
            </w:r>
            <w:r w:rsidR="0043272C">
              <w:rPr>
                <w:rFonts w:ascii="Times New Roman" w:hAnsi="Times New Roman" w:cs="Times New Roman"/>
                <w:sz w:val="20"/>
                <w:szCs w:val="20"/>
              </w:rPr>
              <w:t xml:space="preserve"> të miratuara nga institucioni.</w:t>
            </w:r>
          </w:p>
        </w:tc>
        <w:tc>
          <w:tcPr>
            <w:tcW w:w="6566" w:type="dxa"/>
            <w:gridSpan w:val="4"/>
          </w:tcPr>
          <w:p w:rsidR="000927D7" w:rsidRPr="00A6411D" w:rsidRDefault="000927D7" w:rsidP="00243BA4">
            <w:pPr>
              <w:spacing w:line="276" w:lineRule="auto"/>
              <w:jc w:val="both"/>
              <w:rPr>
                <w:rFonts w:ascii="Times New Roman" w:hAnsi="Times New Roman" w:cs="Times New Roman"/>
                <w:b/>
              </w:rPr>
            </w:pPr>
          </w:p>
        </w:tc>
      </w:tr>
      <w:tr w:rsidR="000927D7" w:rsidRPr="00A6411D" w:rsidTr="00A6411D">
        <w:tc>
          <w:tcPr>
            <w:tcW w:w="3154" w:type="dxa"/>
          </w:tcPr>
          <w:p w:rsidR="000927D7" w:rsidRPr="002D7133" w:rsidRDefault="002D7133" w:rsidP="0043272C">
            <w:pPr>
              <w:spacing w:line="276" w:lineRule="auto"/>
              <w:rPr>
                <w:rFonts w:ascii="Times New Roman" w:hAnsi="Times New Roman" w:cs="Times New Roman"/>
                <w:sz w:val="20"/>
                <w:szCs w:val="20"/>
              </w:rPr>
            </w:pPr>
            <w:r w:rsidRPr="002D7133">
              <w:rPr>
                <w:rFonts w:ascii="Times New Roman" w:hAnsi="Times New Roman" w:cs="Times New Roman"/>
                <w:b/>
                <w:sz w:val="20"/>
                <w:szCs w:val="20"/>
              </w:rPr>
              <w:t>Kriteri 3:</w:t>
            </w:r>
            <w:r w:rsidRPr="002D7133">
              <w:rPr>
                <w:rFonts w:ascii="Times New Roman" w:hAnsi="Times New Roman" w:cs="Times New Roman"/>
                <w:sz w:val="20"/>
                <w:szCs w:val="20"/>
              </w:rPr>
              <w:t xml:space="preserve"> Institucioni harton dhe miraton udhëzues, modele për raportimin, vlerësimin dhe arritjet e specializantëve gjatë gjithë v</w:t>
            </w:r>
            <w:r w:rsidR="0043272C">
              <w:rPr>
                <w:rFonts w:ascii="Times New Roman" w:hAnsi="Times New Roman" w:cs="Times New Roman"/>
                <w:sz w:val="20"/>
                <w:szCs w:val="20"/>
              </w:rPr>
              <w:t>itit akademik dhe të studimeve.</w:t>
            </w:r>
          </w:p>
        </w:tc>
        <w:tc>
          <w:tcPr>
            <w:tcW w:w="6566" w:type="dxa"/>
            <w:gridSpan w:val="4"/>
          </w:tcPr>
          <w:p w:rsidR="000927D7" w:rsidRPr="00A6411D" w:rsidRDefault="000927D7" w:rsidP="00243BA4">
            <w:pPr>
              <w:spacing w:line="276" w:lineRule="auto"/>
              <w:jc w:val="both"/>
              <w:rPr>
                <w:rFonts w:ascii="Times New Roman" w:hAnsi="Times New Roman" w:cs="Times New Roman"/>
                <w:b/>
              </w:rPr>
            </w:pPr>
          </w:p>
        </w:tc>
      </w:tr>
      <w:tr w:rsidR="00C1352C" w:rsidRPr="00A6411D" w:rsidTr="00A6411D">
        <w:trPr>
          <w:trHeight w:val="315"/>
        </w:trPr>
        <w:tc>
          <w:tcPr>
            <w:tcW w:w="3154" w:type="dxa"/>
            <w:vMerge w:val="restart"/>
            <w:shd w:val="clear" w:color="auto" w:fill="F7CAAC" w:themeFill="accent2" w:themeFillTint="66"/>
          </w:tcPr>
          <w:p w:rsidR="00C1352C" w:rsidRPr="00A6411D" w:rsidRDefault="00C1352C" w:rsidP="00243BA4">
            <w:pPr>
              <w:spacing w:line="276" w:lineRule="auto"/>
              <w:rPr>
                <w:rFonts w:ascii="Times New Roman" w:hAnsi="Times New Roman" w:cs="Times New Roman"/>
                <w:b/>
              </w:rPr>
            </w:pPr>
            <w:r w:rsidRPr="00A6411D">
              <w:rPr>
                <w:rFonts w:ascii="Times New Roman" w:hAnsi="Times New Roman" w:cs="Times New Roman"/>
                <w:b/>
              </w:rPr>
              <w:t>Shkalla e përmbushjes së standardit</w:t>
            </w:r>
          </w:p>
        </w:tc>
        <w:tc>
          <w:tcPr>
            <w:tcW w:w="1526" w:type="dxa"/>
            <w:shd w:val="clear" w:color="auto" w:fill="FF00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Nuk përmbushet</w:t>
            </w:r>
          </w:p>
        </w:tc>
        <w:tc>
          <w:tcPr>
            <w:tcW w:w="1440" w:type="dxa"/>
            <w:shd w:val="clear" w:color="auto" w:fill="FF66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pjesërisht</w:t>
            </w:r>
          </w:p>
        </w:tc>
        <w:tc>
          <w:tcPr>
            <w:tcW w:w="1710" w:type="dxa"/>
            <w:shd w:val="clear" w:color="auto" w:fill="CCCC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kryesisht</w:t>
            </w:r>
          </w:p>
        </w:tc>
        <w:tc>
          <w:tcPr>
            <w:tcW w:w="1890" w:type="dxa"/>
            <w:shd w:val="clear" w:color="auto" w:fill="92D05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plotësisht</w:t>
            </w:r>
          </w:p>
        </w:tc>
      </w:tr>
      <w:tr w:rsidR="00C1352C" w:rsidRPr="00A6411D" w:rsidTr="00A6411D">
        <w:trPr>
          <w:trHeight w:val="315"/>
        </w:trPr>
        <w:tc>
          <w:tcPr>
            <w:tcW w:w="3154" w:type="dxa"/>
            <w:vMerge/>
            <w:shd w:val="clear" w:color="auto" w:fill="F7CAAC" w:themeFill="accent2" w:themeFillTint="66"/>
          </w:tcPr>
          <w:p w:rsidR="00C1352C" w:rsidRPr="00A6411D" w:rsidRDefault="00C1352C" w:rsidP="00243BA4">
            <w:pPr>
              <w:spacing w:line="276" w:lineRule="auto"/>
              <w:rPr>
                <w:rFonts w:ascii="Times New Roman" w:hAnsi="Times New Roman" w:cs="Times New Roman"/>
                <w:b/>
              </w:rPr>
            </w:pPr>
          </w:p>
        </w:tc>
        <w:tc>
          <w:tcPr>
            <w:tcW w:w="1526" w:type="dxa"/>
          </w:tcPr>
          <w:p w:rsidR="00C1352C" w:rsidRPr="00A6411D" w:rsidRDefault="00C1352C" w:rsidP="00243BA4">
            <w:pPr>
              <w:spacing w:line="276" w:lineRule="auto"/>
              <w:jc w:val="both"/>
              <w:rPr>
                <w:rFonts w:ascii="Times New Roman" w:hAnsi="Times New Roman" w:cs="Times New Roman"/>
                <w:b/>
              </w:rPr>
            </w:pPr>
          </w:p>
        </w:tc>
        <w:tc>
          <w:tcPr>
            <w:tcW w:w="1440" w:type="dxa"/>
          </w:tcPr>
          <w:p w:rsidR="00C1352C" w:rsidRPr="00A6411D" w:rsidRDefault="00C1352C" w:rsidP="00243BA4">
            <w:pPr>
              <w:spacing w:line="276" w:lineRule="auto"/>
              <w:jc w:val="both"/>
              <w:rPr>
                <w:rFonts w:ascii="Times New Roman" w:hAnsi="Times New Roman" w:cs="Times New Roman"/>
                <w:b/>
              </w:rPr>
            </w:pPr>
          </w:p>
        </w:tc>
        <w:tc>
          <w:tcPr>
            <w:tcW w:w="1710" w:type="dxa"/>
          </w:tcPr>
          <w:p w:rsidR="00C1352C" w:rsidRPr="00A6411D" w:rsidRDefault="00C1352C" w:rsidP="00243BA4">
            <w:pPr>
              <w:spacing w:line="276" w:lineRule="auto"/>
              <w:jc w:val="both"/>
              <w:rPr>
                <w:rFonts w:ascii="Times New Roman" w:hAnsi="Times New Roman" w:cs="Times New Roman"/>
                <w:b/>
              </w:rPr>
            </w:pPr>
          </w:p>
        </w:tc>
        <w:tc>
          <w:tcPr>
            <w:tcW w:w="1890" w:type="dxa"/>
          </w:tcPr>
          <w:p w:rsidR="00C1352C" w:rsidRPr="00A6411D" w:rsidRDefault="00C1352C" w:rsidP="00243BA4">
            <w:pPr>
              <w:spacing w:line="276" w:lineRule="auto"/>
              <w:jc w:val="both"/>
              <w:rPr>
                <w:rFonts w:ascii="Times New Roman" w:hAnsi="Times New Roman" w:cs="Times New Roman"/>
                <w:b/>
              </w:rPr>
            </w:pPr>
          </w:p>
        </w:tc>
      </w:tr>
    </w:tbl>
    <w:p w:rsidR="00826B13" w:rsidRPr="00A6411D" w:rsidRDefault="00826B13" w:rsidP="004327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24"/>
        <w:gridCol w:w="1556"/>
        <w:gridCol w:w="1440"/>
        <w:gridCol w:w="1710"/>
        <w:gridCol w:w="1890"/>
      </w:tblGrid>
      <w:tr w:rsidR="00C1352C" w:rsidRPr="00A6411D" w:rsidTr="00A6411D">
        <w:tc>
          <w:tcPr>
            <w:tcW w:w="9720" w:type="dxa"/>
            <w:gridSpan w:val="5"/>
            <w:shd w:val="clear" w:color="auto" w:fill="F7CAAC" w:themeFill="accent2" w:themeFillTint="66"/>
          </w:tcPr>
          <w:p w:rsidR="00C1352C" w:rsidRPr="00A6411D" w:rsidRDefault="00C1352C" w:rsidP="00243BA4">
            <w:pPr>
              <w:spacing w:line="276" w:lineRule="auto"/>
              <w:jc w:val="both"/>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Standardi II.2</w:t>
            </w:r>
            <w:r w:rsidRPr="00A6411D">
              <w:rPr>
                <w:rFonts w:ascii="Times New Roman" w:eastAsia="Times New Roman" w:hAnsi="Times New Roman" w:cs="Times New Roman"/>
                <w:b/>
                <w:bCs/>
                <w:lang w:val="sq-AL"/>
              </w:rPr>
              <w:tab/>
            </w:r>
          </w:p>
          <w:p w:rsidR="00C1352C" w:rsidRPr="00A6411D" w:rsidRDefault="002D7133" w:rsidP="00243BA4">
            <w:pPr>
              <w:spacing w:line="276" w:lineRule="auto"/>
              <w:jc w:val="both"/>
              <w:rPr>
                <w:rFonts w:ascii="Times New Roman" w:hAnsi="Times New Roman" w:cs="Times New Roman"/>
                <w:b/>
              </w:rPr>
            </w:pPr>
            <w:r w:rsidRPr="002D7133">
              <w:rPr>
                <w:rFonts w:ascii="Times New Roman" w:eastAsia="?????? Pro W3" w:hAnsi="Times New Roman" w:cs="Times New Roman"/>
                <w:b/>
                <w:bCs/>
                <w:color w:val="000000"/>
                <w:lang w:val="sq-AL"/>
              </w:rPr>
              <w:t>Përmbajtja e programit të studimit specializim afatgjatë organizohet në përputhje me aktet ligjore e nënligjore në fuqi si dhe në udhëzues të hapësirës evropiane në arsimin e lartë</w:t>
            </w:r>
            <w:r>
              <w:rPr>
                <w:rFonts w:ascii="Times New Roman" w:eastAsia="?????? Pro W3" w:hAnsi="Times New Roman" w:cs="Times New Roman"/>
                <w:b/>
                <w:bCs/>
                <w:color w:val="000000"/>
                <w:lang w:val="sq-AL"/>
              </w:rPr>
              <w:t>.</w:t>
            </w:r>
          </w:p>
        </w:tc>
      </w:tr>
      <w:tr w:rsidR="00C1352C" w:rsidRPr="00A6411D" w:rsidTr="0043272C">
        <w:trPr>
          <w:trHeight w:val="377"/>
        </w:trPr>
        <w:tc>
          <w:tcPr>
            <w:tcW w:w="3124" w:type="dxa"/>
            <w:shd w:val="clear" w:color="auto" w:fill="C5E0B3" w:themeFill="accent6" w:themeFillTint="66"/>
          </w:tcPr>
          <w:p w:rsidR="00C1352C" w:rsidRPr="00A6411D" w:rsidRDefault="00C1352C" w:rsidP="00243BA4">
            <w:pPr>
              <w:spacing w:line="276" w:lineRule="auto"/>
              <w:jc w:val="both"/>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Kriteret</w:t>
            </w:r>
          </w:p>
        </w:tc>
        <w:tc>
          <w:tcPr>
            <w:tcW w:w="6596" w:type="dxa"/>
            <w:gridSpan w:val="4"/>
            <w:shd w:val="clear" w:color="auto" w:fill="C5E0B3" w:themeFill="accent6" w:themeFillTint="66"/>
          </w:tcPr>
          <w:p w:rsidR="00C1352C" w:rsidRPr="00A6411D" w:rsidRDefault="00C1352C" w:rsidP="0043272C">
            <w:pPr>
              <w:spacing w:line="276" w:lineRule="auto"/>
              <w:jc w:val="center"/>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Vlerësimi i ekspertëve</w:t>
            </w:r>
          </w:p>
        </w:tc>
      </w:tr>
      <w:tr w:rsidR="00826B13" w:rsidRPr="00A6411D" w:rsidTr="00342D97">
        <w:tc>
          <w:tcPr>
            <w:tcW w:w="3124" w:type="dxa"/>
          </w:tcPr>
          <w:p w:rsidR="00826B13" w:rsidRPr="00E16D66" w:rsidRDefault="002D7133" w:rsidP="0043272C">
            <w:pPr>
              <w:spacing w:line="276" w:lineRule="auto"/>
              <w:rPr>
                <w:rFonts w:ascii="Times New Roman" w:hAnsi="Times New Roman" w:cs="Times New Roman"/>
                <w:sz w:val="20"/>
                <w:szCs w:val="20"/>
              </w:rPr>
            </w:pPr>
            <w:r w:rsidRPr="00E16D66">
              <w:rPr>
                <w:rFonts w:ascii="Times New Roman" w:hAnsi="Times New Roman" w:cs="Times New Roman"/>
                <w:b/>
                <w:sz w:val="20"/>
                <w:szCs w:val="20"/>
              </w:rPr>
              <w:t>Kriteri 1:</w:t>
            </w:r>
            <w:r w:rsidRPr="00E16D66">
              <w:rPr>
                <w:rFonts w:ascii="Times New Roman" w:hAnsi="Times New Roman" w:cs="Times New Roman"/>
                <w:sz w:val="20"/>
                <w:szCs w:val="20"/>
              </w:rPr>
              <w:t xml:space="preserve"> Për  kryerjen  e  programeve  të  studimeve  specializuese  afatgjata,  studenti duhet të grumbullojë jo më pak se 120 kredite dhe kohëzgjatja normale e këtyre programeve të </w:t>
            </w:r>
            <w:r w:rsidRPr="00E16D66">
              <w:rPr>
                <w:rFonts w:ascii="Times New Roman" w:hAnsi="Times New Roman" w:cs="Times New Roman"/>
                <w:sz w:val="20"/>
                <w:szCs w:val="20"/>
              </w:rPr>
              <w:lastRenderedPageBreak/>
              <w:t>studimeve është jo më pak se 2 vite akademike, në përputhje me ligjin e profesioneve të rregulluara, dhe për</w:t>
            </w:r>
            <w:r w:rsidR="0043272C">
              <w:rPr>
                <w:rFonts w:ascii="Times New Roman" w:hAnsi="Times New Roman" w:cs="Times New Roman"/>
                <w:sz w:val="20"/>
                <w:szCs w:val="20"/>
              </w:rPr>
              <w:t>caktimeve në shtojcën 1.</w:t>
            </w:r>
          </w:p>
        </w:tc>
        <w:tc>
          <w:tcPr>
            <w:tcW w:w="6596"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124" w:type="dxa"/>
          </w:tcPr>
          <w:p w:rsidR="00826B13" w:rsidRPr="00E16D66" w:rsidRDefault="002D7133" w:rsidP="0043272C">
            <w:pPr>
              <w:spacing w:line="276" w:lineRule="auto"/>
              <w:rPr>
                <w:rFonts w:ascii="Times New Roman" w:hAnsi="Times New Roman" w:cs="Times New Roman"/>
                <w:sz w:val="20"/>
                <w:szCs w:val="20"/>
              </w:rPr>
            </w:pPr>
            <w:r w:rsidRPr="00E16D66">
              <w:rPr>
                <w:rFonts w:ascii="Times New Roman" w:hAnsi="Times New Roman" w:cs="Times New Roman"/>
                <w:b/>
                <w:sz w:val="20"/>
                <w:szCs w:val="20"/>
              </w:rPr>
              <w:t>Kriteri 2:</w:t>
            </w:r>
            <w:r w:rsidRPr="00E16D66">
              <w:rPr>
                <w:rFonts w:ascii="Times New Roman" w:hAnsi="Times New Roman" w:cs="Times New Roman"/>
                <w:sz w:val="20"/>
                <w:szCs w:val="20"/>
              </w:rPr>
              <w:t xml:space="preserve"> Kohëzgjatja e normale e programeve të specializimit afatgjatë në fushën e mjekësisë është sipas shtojcës nr 1 dhe kohëzgjatja maksimale nuk mund te jete me shume se dyfishi i kohëzgjatjes normale te specializimit afat</w:t>
            </w:r>
            <w:r w:rsidR="0043272C">
              <w:rPr>
                <w:rFonts w:ascii="Times New Roman" w:hAnsi="Times New Roman" w:cs="Times New Roman"/>
                <w:sz w:val="20"/>
                <w:szCs w:val="20"/>
              </w:rPr>
              <w:t xml:space="preserve">gjatë. </w:t>
            </w:r>
          </w:p>
        </w:tc>
        <w:tc>
          <w:tcPr>
            <w:tcW w:w="6596"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124" w:type="dxa"/>
          </w:tcPr>
          <w:p w:rsidR="00826B13" w:rsidRPr="00E16D66" w:rsidRDefault="003F5A0C" w:rsidP="0043272C">
            <w:pPr>
              <w:spacing w:line="276" w:lineRule="auto"/>
              <w:rPr>
                <w:rFonts w:ascii="Times New Roman" w:hAnsi="Times New Roman" w:cs="Times New Roman"/>
                <w:sz w:val="20"/>
                <w:szCs w:val="20"/>
              </w:rPr>
            </w:pPr>
            <w:r w:rsidRPr="00E16D66">
              <w:rPr>
                <w:rFonts w:ascii="Times New Roman" w:hAnsi="Times New Roman" w:cs="Times New Roman"/>
                <w:b/>
                <w:sz w:val="20"/>
                <w:szCs w:val="20"/>
              </w:rPr>
              <w:t>Kriteri 3:</w:t>
            </w:r>
            <w:r w:rsidRPr="00E16D66">
              <w:rPr>
                <w:rFonts w:ascii="Times New Roman" w:hAnsi="Times New Roman" w:cs="Times New Roman"/>
                <w:sz w:val="20"/>
                <w:szCs w:val="20"/>
              </w:rPr>
              <w:t xml:space="preserve"> Përmbajtja e programit, organizimi, vlerësimi dhe monitorimi përafrohen me shembuj të ngjashëm në institucione ndërkombëtare të hapësirës</w:t>
            </w:r>
            <w:r w:rsidR="0043272C">
              <w:rPr>
                <w:rFonts w:ascii="Times New Roman" w:hAnsi="Times New Roman" w:cs="Times New Roman"/>
                <w:sz w:val="20"/>
                <w:szCs w:val="20"/>
              </w:rPr>
              <w:t xml:space="preserve"> evropiane të arsimit të lartë.</w:t>
            </w:r>
          </w:p>
        </w:tc>
        <w:tc>
          <w:tcPr>
            <w:tcW w:w="6596" w:type="dxa"/>
            <w:gridSpan w:val="4"/>
          </w:tcPr>
          <w:p w:rsidR="00826B13" w:rsidRPr="00A6411D" w:rsidRDefault="00826B13" w:rsidP="00243BA4">
            <w:pPr>
              <w:spacing w:line="276" w:lineRule="auto"/>
              <w:jc w:val="both"/>
              <w:rPr>
                <w:rFonts w:ascii="Times New Roman" w:hAnsi="Times New Roman" w:cs="Times New Roman"/>
                <w:b/>
              </w:rPr>
            </w:pPr>
          </w:p>
        </w:tc>
      </w:tr>
      <w:tr w:rsidR="003F5A0C" w:rsidRPr="00A6411D" w:rsidTr="00342D97">
        <w:tc>
          <w:tcPr>
            <w:tcW w:w="3124" w:type="dxa"/>
          </w:tcPr>
          <w:p w:rsidR="003F5A0C" w:rsidRPr="00E16D66" w:rsidRDefault="003F5A0C" w:rsidP="000A6727">
            <w:pPr>
              <w:spacing w:line="276" w:lineRule="auto"/>
              <w:rPr>
                <w:rFonts w:ascii="Times New Roman" w:hAnsi="Times New Roman" w:cs="Times New Roman"/>
                <w:sz w:val="20"/>
                <w:szCs w:val="20"/>
              </w:rPr>
            </w:pPr>
            <w:r w:rsidRPr="00E16D66">
              <w:rPr>
                <w:rFonts w:ascii="Times New Roman" w:hAnsi="Times New Roman" w:cs="Times New Roman"/>
                <w:b/>
                <w:sz w:val="20"/>
                <w:szCs w:val="20"/>
              </w:rPr>
              <w:t>Kriteri 4:</w:t>
            </w:r>
            <w:r w:rsidRPr="00E16D66">
              <w:rPr>
                <w:rFonts w:ascii="Times New Roman" w:hAnsi="Times New Roman" w:cs="Times New Roman"/>
                <w:sz w:val="20"/>
                <w:szCs w:val="20"/>
              </w:rPr>
              <w:t xml:space="preserve"> Programet e studimeve specializuese afatgjata përfshijnë të paktën 80% të ECTS-ve totale për aktivitete klinike/diagnostikuese e profesionalizuese, sipas specializimit përkatës, dhe 20% për studime të organizuara teorike të shpërndara në vite sipas një programi të paracaktuar në fillim të programit të stud</w:t>
            </w:r>
            <w:r w:rsidR="0043272C">
              <w:rPr>
                <w:rFonts w:ascii="Times New Roman" w:hAnsi="Times New Roman" w:cs="Times New Roman"/>
                <w:sz w:val="20"/>
                <w:szCs w:val="20"/>
              </w:rPr>
              <w:t>imit.</w:t>
            </w:r>
          </w:p>
        </w:tc>
        <w:tc>
          <w:tcPr>
            <w:tcW w:w="6596" w:type="dxa"/>
            <w:gridSpan w:val="4"/>
          </w:tcPr>
          <w:p w:rsidR="003F5A0C" w:rsidRPr="00A6411D" w:rsidRDefault="003F5A0C" w:rsidP="00243BA4">
            <w:pPr>
              <w:spacing w:line="276" w:lineRule="auto"/>
              <w:jc w:val="both"/>
              <w:rPr>
                <w:rFonts w:ascii="Times New Roman" w:hAnsi="Times New Roman" w:cs="Times New Roman"/>
                <w:b/>
              </w:rPr>
            </w:pPr>
          </w:p>
        </w:tc>
      </w:tr>
      <w:tr w:rsidR="000A6727" w:rsidRPr="00A6411D" w:rsidTr="00342D97">
        <w:tc>
          <w:tcPr>
            <w:tcW w:w="3124" w:type="dxa"/>
          </w:tcPr>
          <w:p w:rsidR="000A6727" w:rsidRPr="00E16D66" w:rsidRDefault="000A6727" w:rsidP="000A6727">
            <w:pPr>
              <w:spacing w:line="276" w:lineRule="auto"/>
              <w:rPr>
                <w:rFonts w:ascii="Times New Roman" w:hAnsi="Times New Roman" w:cs="Times New Roman"/>
                <w:sz w:val="20"/>
                <w:szCs w:val="20"/>
              </w:rPr>
            </w:pPr>
            <w:r w:rsidRPr="000A6727">
              <w:rPr>
                <w:rFonts w:ascii="Times New Roman" w:hAnsi="Times New Roman" w:cs="Times New Roman"/>
                <w:b/>
                <w:sz w:val="20"/>
                <w:szCs w:val="20"/>
              </w:rPr>
              <w:t>Kriteri 5:</w:t>
            </w:r>
            <w:r w:rsidRPr="00E16D66">
              <w:rPr>
                <w:rFonts w:ascii="Times New Roman" w:hAnsi="Times New Roman" w:cs="Times New Roman"/>
                <w:sz w:val="20"/>
                <w:szCs w:val="20"/>
              </w:rPr>
              <w:t xml:space="preserve"> Raporti i lëndëve (referuar totalit të ECTS) të përcaktuara në programin e studimit përbëhet, nga: </w:t>
            </w:r>
          </w:p>
          <w:p w:rsidR="000A6727" w:rsidRPr="00E16D66" w:rsidRDefault="000A6727" w:rsidP="000A6727">
            <w:pPr>
              <w:spacing w:line="276" w:lineRule="auto"/>
              <w:rPr>
                <w:rFonts w:ascii="Times New Roman" w:hAnsi="Times New Roman" w:cs="Times New Roman"/>
                <w:sz w:val="20"/>
                <w:szCs w:val="20"/>
              </w:rPr>
            </w:pPr>
            <w:r w:rsidRPr="00E16D66">
              <w:rPr>
                <w:rFonts w:ascii="Times New Roman" w:hAnsi="Times New Roman" w:cs="Times New Roman"/>
                <w:sz w:val="20"/>
                <w:szCs w:val="20"/>
              </w:rPr>
              <w:t xml:space="preserve">60% lëndë specifike; </w:t>
            </w:r>
          </w:p>
          <w:p w:rsidR="000A6727" w:rsidRPr="00E16D66" w:rsidRDefault="000A6727" w:rsidP="000A6727">
            <w:pPr>
              <w:spacing w:line="276" w:lineRule="auto"/>
              <w:rPr>
                <w:rFonts w:ascii="Times New Roman" w:hAnsi="Times New Roman" w:cs="Times New Roman"/>
                <w:sz w:val="20"/>
                <w:szCs w:val="20"/>
              </w:rPr>
            </w:pPr>
            <w:r w:rsidRPr="00E16D66">
              <w:rPr>
                <w:rFonts w:ascii="Times New Roman" w:hAnsi="Times New Roman" w:cs="Times New Roman"/>
                <w:sz w:val="20"/>
                <w:szCs w:val="20"/>
              </w:rPr>
              <w:t xml:space="preserve">30% lëndë karakterizuese të fushës; </w:t>
            </w:r>
          </w:p>
          <w:p w:rsidR="000A6727" w:rsidRPr="00E16D66" w:rsidRDefault="000A6727" w:rsidP="000A6727">
            <w:pPr>
              <w:spacing w:line="276" w:lineRule="auto"/>
              <w:rPr>
                <w:rFonts w:ascii="Times New Roman" w:hAnsi="Times New Roman" w:cs="Times New Roman"/>
                <w:sz w:val="20"/>
                <w:szCs w:val="20"/>
              </w:rPr>
            </w:pPr>
            <w:r w:rsidRPr="00E16D66">
              <w:rPr>
                <w:rFonts w:ascii="Times New Roman" w:hAnsi="Times New Roman" w:cs="Times New Roman"/>
                <w:sz w:val="20"/>
                <w:szCs w:val="20"/>
              </w:rPr>
              <w:t>5% lëndë të formimit bazë, ndërdisiplinore ose integruese dhe për aktivitete të tjera;</w:t>
            </w:r>
          </w:p>
          <w:p w:rsidR="000A6727" w:rsidRPr="00E16D66" w:rsidRDefault="000A6727" w:rsidP="000A6727">
            <w:pPr>
              <w:spacing w:line="276" w:lineRule="auto"/>
              <w:rPr>
                <w:rFonts w:ascii="Times New Roman" w:hAnsi="Times New Roman" w:cs="Times New Roman"/>
                <w:sz w:val="20"/>
                <w:szCs w:val="20"/>
              </w:rPr>
            </w:pPr>
            <w:r w:rsidRPr="00E16D66">
              <w:rPr>
                <w:rFonts w:ascii="Times New Roman" w:hAnsi="Times New Roman" w:cs="Times New Roman"/>
                <w:sz w:val="20"/>
                <w:szCs w:val="20"/>
              </w:rPr>
              <w:t>5% provimi përfundimtar etj. ;</w:t>
            </w:r>
          </w:p>
          <w:p w:rsidR="000A6727" w:rsidRPr="0043272C" w:rsidRDefault="000A6727" w:rsidP="00E16D66">
            <w:pPr>
              <w:spacing w:line="276" w:lineRule="auto"/>
              <w:rPr>
                <w:rFonts w:ascii="Times New Roman" w:hAnsi="Times New Roman" w:cs="Times New Roman"/>
                <w:sz w:val="20"/>
                <w:szCs w:val="20"/>
              </w:rPr>
            </w:pPr>
            <w:r w:rsidRPr="00E16D66">
              <w:rPr>
                <w:rFonts w:ascii="Times New Roman" w:hAnsi="Times New Roman" w:cs="Times New Roman"/>
                <w:sz w:val="20"/>
                <w:szCs w:val="20"/>
              </w:rPr>
              <w:t>Jo me shume se 15% e totalit e lëndëve vjetore duhet të jenë lëndë me zgjedhje</w:t>
            </w:r>
            <w:r w:rsidR="0043272C">
              <w:rPr>
                <w:rFonts w:ascii="Times New Roman" w:hAnsi="Times New Roman" w:cs="Times New Roman"/>
                <w:sz w:val="20"/>
                <w:szCs w:val="20"/>
              </w:rPr>
              <w:t>, sipas kuadrit ligjor ne fuqi.</w:t>
            </w:r>
          </w:p>
        </w:tc>
        <w:tc>
          <w:tcPr>
            <w:tcW w:w="6596" w:type="dxa"/>
            <w:gridSpan w:val="4"/>
          </w:tcPr>
          <w:p w:rsidR="000A6727" w:rsidRPr="00A6411D" w:rsidRDefault="000A6727" w:rsidP="00243BA4">
            <w:pPr>
              <w:spacing w:line="276" w:lineRule="auto"/>
              <w:jc w:val="both"/>
              <w:rPr>
                <w:rFonts w:ascii="Times New Roman" w:hAnsi="Times New Roman" w:cs="Times New Roman"/>
                <w:b/>
              </w:rPr>
            </w:pPr>
          </w:p>
        </w:tc>
      </w:tr>
      <w:tr w:rsidR="003F5A0C" w:rsidRPr="00A6411D" w:rsidTr="00342D97">
        <w:tc>
          <w:tcPr>
            <w:tcW w:w="3124" w:type="dxa"/>
          </w:tcPr>
          <w:p w:rsidR="003F5A0C" w:rsidRPr="00E16D66" w:rsidRDefault="003F5A0C" w:rsidP="00E16D66">
            <w:pPr>
              <w:spacing w:line="276" w:lineRule="auto"/>
              <w:rPr>
                <w:rFonts w:ascii="Times New Roman" w:hAnsi="Times New Roman" w:cs="Times New Roman"/>
                <w:sz w:val="20"/>
                <w:szCs w:val="20"/>
              </w:rPr>
            </w:pPr>
            <w:r w:rsidRPr="000A6727">
              <w:rPr>
                <w:rFonts w:ascii="Times New Roman" w:hAnsi="Times New Roman" w:cs="Times New Roman"/>
                <w:b/>
                <w:sz w:val="20"/>
                <w:szCs w:val="20"/>
              </w:rPr>
              <w:t>Kriteri 6:</w:t>
            </w:r>
            <w:r w:rsidRPr="00E16D66">
              <w:rPr>
                <w:rFonts w:ascii="Times New Roman" w:hAnsi="Times New Roman" w:cs="Times New Roman"/>
                <w:sz w:val="20"/>
                <w:szCs w:val="20"/>
              </w:rPr>
              <w:t xml:space="preserve"> Në përfundim të çdo viti organizohet provimi vlerësues teorik dhe praktik I lëndës i cili vlerësohet me notë. Vlerësimi vjetor i lëndës kryhet nga një komision I përbërë nga të paktën 2 (dy) pedagoge. Nder ta</w:t>
            </w:r>
            <w:r w:rsidR="000A6727" w:rsidRPr="00E16D66">
              <w:rPr>
                <w:rFonts w:ascii="Times New Roman" w:hAnsi="Times New Roman" w:cs="Times New Roman"/>
                <w:sz w:val="20"/>
                <w:szCs w:val="20"/>
              </w:rPr>
              <w:t>, te</w:t>
            </w:r>
            <w:r w:rsidRPr="00E16D66">
              <w:rPr>
                <w:rFonts w:ascii="Times New Roman" w:hAnsi="Times New Roman" w:cs="Times New Roman"/>
                <w:sz w:val="20"/>
                <w:szCs w:val="20"/>
              </w:rPr>
              <w:t xml:space="preserve"> paktën njeri prej tyre duhet te jete pedagog me kohe te plote ne fushën përkatëse ndërsa pedagogu i </w:t>
            </w:r>
            <w:r w:rsidR="000A6727" w:rsidRPr="00E16D66">
              <w:rPr>
                <w:rFonts w:ascii="Times New Roman" w:hAnsi="Times New Roman" w:cs="Times New Roman"/>
                <w:sz w:val="20"/>
                <w:szCs w:val="20"/>
              </w:rPr>
              <w:t xml:space="preserve">dyte </w:t>
            </w:r>
            <w:r w:rsidR="000A6727" w:rsidRPr="00E16D66">
              <w:rPr>
                <w:rFonts w:ascii="Times New Roman" w:hAnsi="Times New Roman" w:cs="Times New Roman"/>
                <w:sz w:val="20"/>
                <w:szCs w:val="20"/>
              </w:rPr>
              <w:lastRenderedPageBreak/>
              <w:t>specialist</w:t>
            </w:r>
            <w:r w:rsidRPr="00E16D66">
              <w:rPr>
                <w:rFonts w:ascii="Times New Roman" w:hAnsi="Times New Roman" w:cs="Times New Roman"/>
                <w:sz w:val="20"/>
                <w:szCs w:val="20"/>
              </w:rPr>
              <w:t xml:space="preserve"> me përvojë i fushës përkatëse ose të përafërt me të sipas moduleve të zhvilluara. </w:t>
            </w:r>
          </w:p>
          <w:p w:rsidR="003F5A0C" w:rsidRPr="00E16D66" w:rsidRDefault="003F5A0C" w:rsidP="00E16D66">
            <w:pPr>
              <w:spacing w:line="276" w:lineRule="auto"/>
              <w:rPr>
                <w:rFonts w:ascii="Times New Roman" w:hAnsi="Times New Roman" w:cs="Times New Roman"/>
                <w:sz w:val="20"/>
                <w:szCs w:val="20"/>
              </w:rPr>
            </w:pPr>
            <w:r w:rsidRPr="00E16D66">
              <w:rPr>
                <w:rFonts w:ascii="Times New Roman" w:hAnsi="Times New Roman" w:cs="Times New Roman"/>
                <w:sz w:val="20"/>
                <w:szCs w:val="20"/>
              </w:rPr>
              <w:t>Studentët që vlerësohen negativisht 5 herë marrin një dëshmi për modulet e zhvilluara, së bashku me kreditet e grumbulluara dhe i ndërpresin studim</w:t>
            </w:r>
            <w:r w:rsidR="0043272C">
              <w:rPr>
                <w:rFonts w:ascii="Times New Roman" w:hAnsi="Times New Roman" w:cs="Times New Roman"/>
                <w:sz w:val="20"/>
                <w:szCs w:val="20"/>
              </w:rPr>
              <w:t xml:space="preserve">et e specializimeve afatgjata. </w:t>
            </w:r>
          </w:p>
        </w:tc>
        <w:tc>
          <w:tcPr>
            <w:tcW w:w="6596" w:type="dxa"/>
            <w:gridSpan w:val="4"/>
          </w:tcPr>
          <w:p w:rsidR="003F5A0C" w:rsidRPr="00A6411D" w:rsidRDefault="003F5A0C" w:rsidP="00243BA4">
            <w:pPr>
              <w:spacing w:line="276" w:lineRule="auto"/>
              <w:jc w:val="both"/>
              <w:rPr>
                <w:rFonts w:ascii="Times New Roman" w:hAnsi="Times New Roman" w:cs="Times New Roman"/>
                <w:b/>
              </w:rPr>
            </w:pPr>
          </w:p>
        </w:tc>
      </w:tr>
      <w:tr w:rsidR="003F5A0C" w:rsidRPr="00A6411D" w:rsidTr="00342D97">
        <w:tc>
          <w:tcPr>
            <w:tcW w:w="3124" w:type="dxa"/>
          </w:tcPr>
          <w:p w:rsidR="00E16D66" w:rsidRPr="00E16D66" w:rsidRDefault="00E16D66" w:rsidP="00E16D66">
            <w:pPr>
              <w:spacing w:line="276" w:lineRule="auto"/>
              <w:rPr>
                <w:rFonts w:ascii="Times New Roman" w:hAnsi="Times New Roman" w:cs="Times New Roman"/>
                <w:sz w:val="20"/>
                <w:szCs w:val="20"/>
              </w:rPr>
            </w:pPr>
            <w:r w:rsidRPr="00AE4B06">
              <w:rPr>
                <w:rFonts w:ascii="Times New Roman" w:hAnsi="Times New Roman" w:cs="Times New Roman"/>
                <w:b/>
                <w:sz w:val="20"/>
                <w:szCs w:val="20"/>
              </w:rPr>
              <w:t>Kriteri 7:</w:t>
            </w:r>
            <w:r w:rsidRPr="00E16D66">
              <w:rPr>
                <w:rFonts w:ascii="Times New Roman" w:hAnsi="Times New Roman" w:cs="Times New Roman"/>
                <w:sz w:val="20"/>
                <w:szCs w:val="20"/>
              </w:rPr>
              <w:t xml:space="preserve"> Studenti i nënshtrohet provimit përfundimtar/final në përfundim të programit specializues i cili përfshin testimin praktik dhe me gojë të studentit dhe/ose paraqitjen e temës të diplomës. </w:t>
            </w:r>
          </w:p>
          <w:p w:rsidR="00E16D66" w:rsidRPr="00E16D66" w:rsidRDefault="00E16D66" w:rsidP="00E16D66">
            <w:pPr>
              <w:spacing w:line="276" w:lineRule="auto"/>
              <w:rPr>
                <w:rFonts w:ascii="Times New Roman" w:hAnsi="Times New Roman" w:cs="Times New Roman"/>
                <w:sz w:val="20"/>
                <w:szCs w:val="20"/>
              </w:rPr>
            </w:pPr>
            <w:r w:rsidRPr="00E16D66">
              <w:rPr>
                <w:rFonts w:ascii="Times New Roman" w:hAnsi="Times New Roman" w:cs="Times New Roman"/>
                <w:sz w:val="20"/>
                <w:szCs w:val="20"/>
              </w:rPr>
              <w:t>Komisioni për vlerësimin përfundimtar të studentit përbëhet nga 5 specialistë të fushës pedagoge me kohe te plote të IAL që ofron specializimin, ose të një fushe të afërt, me eksperiencë të paktën 10 (dhjetë) vjeçare në fushën përkatëse. Kryetar i komisionit duhet te jete një pedagog me kohë te plote i fushës përkatëse, përgjegjës për programin e specializimit afatgjate ne ketë fushe.</w:t>
            </w:r>
          </w:p>
          <w:p w:rsidR="00E16D66" w:rsidRPr="00E16D66" w:rsidRDefault="00E16D66" w:rsidP="00E16D66">
            <w:pPr>
              <w:spacing w:line="276" w:lineRule="auto"/>
              <w:rPr>
                <w:rFonts w:ascii="Times New Roman" w:hAnsi="Times New Roman" w:cs="Times New Roman"/>
                <w:sz w:val="20"/>
                <w:szCs w:val="20"/>
              </w:rPr>
            </w:pPr>
            <w:r w:rsidRPr="00E16D66">
              <w:rPr>
                <w:rFonts w:ascii="Times New Roman" w:hAnsi="Times New Roman" w:cs="Times New Roman"/>
                <w:sz w:val="20"/>
                <w:szCs w:val="20"/>
              </w:rPr>
              <w:t>Disa nga njohuritë bazë për të cilat aplikanti testohet në provimin përfundimtar, janë:</w:t>
            </w:r>
          </w:p>
          <w:p w:rsidR="00E16D66" w:rsidRPr="00E16D66" w:rsidRDefault="00E16D66" w:rsidP="00E16D66">
            <w:pPr>
              <w:spacing w:line="276" w:lineRule="auto"/>
              <w:rPr>
                <w:rFonts w:ascii="Times New Roman" w:hAnsi="Times New Roman" w:cs="Times New Roman"/>
                <w:sz w:val="20"/>
                <w:szCs w:val="20"/>
              </w:rPr>
            </w:pPr>
            <w:r w:rsidRPr="00E16D66">
              <w:rPr>
                <w:rFonts w:ascii="Times New Roman" w:hAnsi="Times New Roman" w:cs="Times New Roman"/>
                <w:sz w:val="20"/>
                <w:szCs w:val="20"/>
              </w:rPr>
              <w:t>a.   Zhvillimi i sensit kritik lidhur me situatat e ndryshme klinike;</w:t>
            </w:r>
          </w:p>
          <w:p w:rsidR="00E16D66" w:rsidRPr="00E16D66" w:rsidRDefault="00E16D66" w:rsidP="00E16D66">
            <w:pPr>
              <w:spacing w:line="276" w:lineRule="auto"/>
              <w:rPr>
                <w:rFonts w:ascii="Times New Roman" w:hAnsi="Times New Roman" w:cs="Times New Roman"/>
                <w:sz w:val="20"/>
                <w:szCs w:val="20"/>
              </w:rPr>
            </w:pPr>
            <w:r w:rsidRPr="00E16D66">
              <w:rPr>
                <w:rFonts w:ascii="Times New Roman" w:hAnsi="Times New Roman" w:cs="Times New Roman"/>
                <w:sz w:val="20"/>
                <w:szCs w:val="20"/>
              </w:rPr>
              <w:t>b.   Lidhjet mes fushave të ndryshme  të mjekësisë;</w:t>
            </w:r>
          </w:p>
          <w:p w:rsidR="00E16D66" w:rsidRPr="00E16D66" w:rsidRDefault="00E16D66" w:rsidP="00E16D66">
            <w:pPr>
              <w:spacing w:line="276" w:lineRule="auto"/>
              <w:rPr>
                <w:rFonts w:ascii="Times New Roman" w:hAnsi="Times New Roman" w:cs="Times New Roman"/>
                <w:sz w:val="20"/>
                <w:szCs w:val="20"/>
              </w:rPr>
            </w:pPr>
            <w:r w:rsidRPr="00E16D66">
              <w:rPr>
                <w:rFonts w:ascii="Times New Roman" w:hAnsi="Times New Roman" w:cs="Times New Roman"/>
                <w:sz w:val="20"/>
                <w:szCs w:val="20"/>
              </w:rPr>
              <w:t>c.   Aftësi  të  zhvilluara  për  zgjidhjen  e  problemeve  që  dalin  gjatë  punës  në klinikë;</w:t>
            </w:r>
          </w:p>
          <w:p w:rsidR="003F5A0C" w:rsidRPr="00E16D66" w:rsidRDefault="00E16D66" w:rsidP="00E16D66">
            <w:pPr>
              <w:spacing w:line="276" w:lineRule="auto"/>
              <w:rPr>
                <w:rFonts w:ascii="Times New Roman" w:hAnsi="Times New Roman" w:cs="Times New Roman"/>
                <w:sz w:val="20"/>
                <w:szCs w:val="20"/>
              </w:rPr>
            </w:pPr>
            <w:r w:rsidRPr="00E16D66">
              <w:rPr>
                <w:rFonts w:ascii="Times New Roman" w:hAnsi="Times New Roman" w:cs="Times New Roman"/>
                <w:sz w:val="20"/>
                <w:szCs w:val="20"/>
              </w:rPr>
              <w:t>d.   Kompetencë për të menaxhuar kompleksitetin e situatave klinike dhe për të dhën</w:t>
            </w:r>
            <w:r w:rsidR="0043272C">
              <w:rPr>
                <w:rFonts w:ascii="Times New Roman" w:hAnsi="Times New Roman" w:cs="Times New Roman"/>
                <w:sz w:val="20"/>
                <w:szCs w:val="20"/>
              </w:rPr>
              <w:t>ë zgjidhje në raste emergjente.</w:t>
            </w:r>
          </w:p>
        </w:tc>
        <w:tc>
          <w:tcPr>
            <w:tcW w:w="6596" w:type="dxa"/>
            <w:gridSpan w:val="4"/>
          </w:tcPr>
          <w:p w:rsidR="003F5A0C" w:rsidRPr="00A6411D" w:rsidRDefault="003F5A0C" w:rsidP="00243BA4">
            <w:pPr>
              <w:spacing w:line="276" w:lineRule="auto"/>
              <w:jc w:val="both"/>
              <w:rPr>
                <w:rFonts w:ascii="Times New Roman" w:hAnsi="Times New Roman" w:cs="Times New Roman"/>
                <w:b/>
              </w:rPr>
            </w:pPr>
          </w:p>
        </w:tc>
      </w:tr>
      <w:tr w:rsidR="00E16D66" w:rsidRPr="00A6411D" w:rsidTr="00342D97">
        <w:tc>
          <w:tcPr>
            <w:tcW w:w="3124" w:type="dxa"/>
          </w:tcPr>
          <w:p w:rsidR="00E16D66" w:rsidRPr="00E16D66" w:rsidRDefault="00E16D66" w:rsidP="00E16D66">
            <w:pPr>
              <w:spacing w:line="276" w:lineRule="auto"/>
              <w:rPr>
                <w:rFonts w:ascii="Times New Roman" w:hAnsi="Times New Roman" w:cs="Times New Roman"/>
                <w:sz w:val="20"/>
                <w:szCs w:val="20"/>
              </w:rPr>
            </w:pPr>
            <w:r w:rsidRPr="00AE4B06">
              <w:rPr>
                <w:rFonts w:ascii="Times New Roman" w:hAnsi="Times New Roman" w:cs="Times New Roman"/>
                <w:b/>
                <w:sz w:val="20"/>
                <w:szCs w:val="20"/>
              </w:rPr>
              <w:t>Kriteri 8:</w:t>
            </w:r>
            <w:r w:rsidRPr="00E16D66">
              <w:rPr>
                <w:rFonts w:ascii="Times New Roman" w:hAnsi="Times New Roman" w:cs="Times New Roman"/>
                <w:sz w:val="20"/>
                <w:szCs w:val="20"/>
              </w:rPr>
              <w:t xml:space="preserve"> Në kuadër të përmirësimit të programit, njësia përgjegjëse ka të drejtën e ndryshimeve në përmbajtje të formimit teorik të programit të specializimit, dokumenton procedurën në përpu</w:t>
            </w:r>
            <w:r w:rsidR="0043272C">
              <w:rPr>
                <w:rFonts w:ascii="Times New Roman" w:hAnsi="Times New Roman" w:cs="Times New Roman"/>
                <w:sz w:val="20"/>
                <w:szCs w:val="20"/>
              </w:rPr>
              <w:t>thje me legjislacionin ne fuqi.</w:t>
            </w:r>
          </w:p>
        </w:tc>
        <w:tc>
          <w:tcPr>
            <w:tcW w:w="6596" w:type="dxa"/>
            <w:gridSpan w:val="4"/>
          </w:tcPr>
          <w:p w:rsidR="00E16D66" w:rsidRPr="00A6411D" w:rsidRDefault="00E16D66" w:rsidP="00243BA4">
            <w:pPr>
              <w:spacing w:line="276" w:lineRule="auto"/>
              <w:jc w:val="both"/>
              <w:rPr>
                <w:rFonts w:ascii="Times New Roman" w:hAnsi="Times New Roman" w:cs="Times New Roman"/>
                <w:b/>
              </w:rPr>
            </w:pPr>
          </w:p>
        </w:tc>
      </w:tr>
      <w:tr w:rsidR="00C1352C" w:rsidRPr="00A6411D" w:rsidTr="00342D97">
        <w:trPr>
          <w:trHeight w:val="315"/>
        </w:trPr>
        <w:tc>
          <w:tcPr>
            <w:tcW w:w="3124" w:type="dxa"/>
            <w:vMerge w:val="restart"/>
            <w:shd w:val="clear" w:color="auto" w:fill="F7CAAC" w:themeFill="accent2" w:themeFillTint="66"/>
          </w:tcPr>
          <w:p w:rsidR="00C1352C" w:rsidRPr="00A6411D" w:rsidRDefault="00C1352C" w:rsidP="00243BA4">
            <w:pPr>
              <w:spacing w:line="276" w:lineRule="auto"/>
              <w:rPr>
                <w:rFonts w:ascii="Times New Roman" w:hAnsi="Times New Roman" w:cs="Times New Roman"/>
                <w:b/>
              </w:rPr>
            </w:pPr>
            <w:r w:rsidRPr="00A6411D">
              <w:rPr>
                <w:rFonts w:ascii="Times New Roman" w:hAnsi="Times New Roman" w:cs="Times New Roman"/>
                <w:b/>
              </w:rPr>
              <w:lastRenderedPageBreak/>
              <w:t>Shkalla e përmbushjes së standardit</w:t>
            </w:r>
          </w:p>
        </w:tc>
        <w:tc>
          <w:tcPr>
            <w:tcW w:w="1556" w:type="dxa"/>
            <w:shd w:val="clear" w:color="auto" w:fill="FF00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Nuk përmbushet</w:t>
            </w:r>
          </w:p>
        </w:tc>
        <w:tc>
          <w:tcPr>
            <w:tcW w:w="1440" w:type="dxa"/>
            <w:shd w:val="clear" w:color="auto" w:fill="FF66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pjesërisht</w:t>
            </w:r>
          </w:p>
        </w:tc>
        <w:tc>
          <w:tcPr>
            <w:tcW w:w="1710" w:type="dxa"/>
            <w:shd w:val="clear" w:color="auto" w:fill="CCCC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kryesisht</w:t>
            </w:r>
          </w:p>
        </w:tc>
        <w:tc>
          <w:tcPr>
            <w:tcW w:w="1890" w:type="dxa"/>
            <w:shd w:val="clear" w:color="auto" w:fill="92D05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plotësisht</w:t>
            </w:r>
          </w:p>
        </w:tc>
      </w:tr>
      <w:tr w:rsidR="00C1352C" w:rsidRPr="00A6411D" w:rsidTr="00342D97">
        <w:trPr>
          <w:trHeight w:val="315"/>
        </w:trPr>
        <w:tc>
          <w:tcPr>
            <w:tcW w:w="3124" w:type="dxa"/>
            <w:vMerge/>
            <w:shd w:val="clear" w:color="auto" w:fill="F7CAAC" w:themeFill="accent2" w:themeFillTint="66"/>
          </w:tcPr>
          <w:p w:rsidR="00C1352C" w:rsidRPr="00A6411D" w:rsidRDefault="00C1352C" w:rsidP="00243BA4">
            <w:pPr>
              <w:spacing w:line="276" w:lineRule="auto"/>
              <w:rPr>
                <w:rFonts w:ascii="Times New Roman" w:hAnsi="Times New Roman" w:cs="Times New Roman"/>
                <w:b/>
              </w:rPr>
            </w:pPr>
          </w:p>
        </w:tc>
        <w:tc>
          <w:tcPr>
            <w:tcW w:w="1556" w:type="dxa"/>
          </w:tcPr>
          <w:p w:rsidR="00C1352C" w:rsidRPr="00A6411D" w:rsidRDefault="00C1352C" w:rsidP="00243BA4">
            <w:pPr>
              <w:spacing w:line="276" w:lineRule="auto"/>
              <w:jc w:val="both"/>
              <w:rPr>
                <w:rFonts w:ascii="Times New Roman" w:hAnsi="Times New Roman" w:cs="Times New Roman"/>
                <w:b/>
              </w:rPr>
            </w:pPr>
          </w:p>
        </w:tc>
        <w:tc>
          <w:tcPr>
            <w:tcW w:w="1440" w:type="dxa"/>
          </w:tcPr>
          <w:p w:rsidR="00C1352C" w:rsidRPr="00A6411D" w:rsidRDefault="00C1352C" w:rsidP="00243BA4">
            <w:pPr>
              <w:spacing w:line="276" w:lineRule="auto"/>
              <w:jc w:val="both"/>
              <w:rPr>
                <w:rFonts w:ascii="Times New Roman" w:hAnsi="Times New Roman" w:cs="Times New Roman"/>
                <w:b/>
              </w:rPr>
            </w:pPr>
          </w:p>
        </w:tc>
        <w:tc>
          <w:tcPr>
            <w:tcW w:w="1710" w:type="dxa"/>
          </w:tcPr>
          <w:p w:rsidR="00C1352C" w:rsidRPr="00A6411D" w:rsidRDefault="00C1352C" w:rsidP="00243BA4">
            <w:pPr>
              <w:spacing w:line="276" w:lineRule="auto"/>
              <w:jc w:val="both"/>
              <w:rPr>
                <w:rFonts w:ascii="Times New Roman" w:hAnsi="Times New Roman" w:cs="Times New Roman"/>
                <w:b/>
              </w:rPr>
            </w:pPr>
          </w:p>
        </w:tc>
        <w:tc>
          <w:tcPr>
            <w:tcW w:w="1890" w:type="dxa"/>
          </w:tcPr>
          <w:p w:rsidR="00C1352C" w:rsidRPr="00A6411D" w:rsidRDefault="00C1352C" w:rsidP="00243BA4">
            <w:pPr>
              <w:spacing w:line="276" w:lineRule="auto"/>
              <w:jc w:val="both"/>
              <w:rPr>
                <w:rFonts w:ascii="Times New Roman" w:hAnsi="Times New Roman" w:cs="Times New Roman"/>
                <w:b/>
              </w:rPr>
            </w:pPr>
          </w:p>
        </w:tc>
      </w:tr>
    </w:tbl>
    <w:p w:rsidR="00DE1FEF" w:rsidRPr="00A6411D" w:rsidRDefault="00DE1FEF"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620"/>
        <w:gridCol w:w="1440"/>
        <w:gridCol w:w="1710"/>
        <w:gridCol w:w="1890"/>
      </w:tblGrid>
      <w:tr w:rsidR="00C1352C" w:rsidRPr="00A6411D" w:rsidTr="00243BA4">
        <w:tc>
          <w:tcPr>
            <w:tcW w:w="9720" w:type="dxa"/>
            <w:gridSpan w:val="5"/>
            <w:shd w:val="clear" w:color="auto" w:fill="F7CAAC" w:themeFill="accent2" w:themeFillTint="66"/>
          </w:tcPr>
          <w:p w:rsidR="00C1352C" w:rsidRPr="00A6411D" w:rsidRDefault="00C1352C" w:rsidP="00243BA4">
            <w:pPr>
              <w:spacing w:line="276" w:lineRule="auto"/>
              <w:jc w:val="both"/>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Standardi II.3</w:t>
            </w:r>
            <w:r w:rsidRPr="00A6411D">
              <w:rPr>
                <w:rFonts w:ascii="Times New Roman" w:eastAsia="Times New Roman" w:hAnsi="Times New Roman" w:cs="Times New Roman"/>
                <w:b/>
                <w:bCs/>
                <w:lang w:val="sq-AL"/>
              </w:rPr>
              <w:tab/>
            </w:r>
          </w:p>
          <w:p w:rsidR="00C1352C" w:rsidRPr="00A6411D" w:rsidRDefault="00AE4B06" w:rsidP="00243BA4">
            <w:pPr>
              <w:spacing w:line="276" w:lineRule="auto"/>
              <w:jc w:val="both"/>
              <w:rPr>
                <w:rFonts w:ascii="Times New Roman" w:hAnsi="Times New Roman" w:cs="Times New Roman"/>
                <w:b/>
              </w:rPr>
            </w:pPr>
            <w:r w:rsidRPr="00AE4B06">
              <w:rPr>
                <w:rFonts w:ascii="Times New Roman" w:eastAsia="Times New Roman" w:hAnsi="Times New Roman" w:cs="Times New Roman"/>
                <w:b/>
                <w:bCs/>
                <w:lang w:val="sq-AL"/>
              </w:rPr>
              <w:t>Pranimi i studentëve në një program studimi specializues afatgjatë në fushën e mjekësisë</w:t>
            </w:r>
            <w:r>
              <w:rPr>
                <w:rFonts w:ascii="Times New Roman" w:eastAsia="Times New Roman" w:hAnsi="Times New Roman" w:cs="Times New Roman"/>
                <w:b/>
                <w:bCs/>
                <w:lang w:val="sq-AL"/>
              </w:rPr>
              <w:t>.</w:t>
            </w:r>
          </w:p>
        </w:tc>
      </w:tr>
      <w:tr w:rsidR="00C1352C" w:rsidRPr="00A6411D" w:rsidTr="0043272C">
        <w:trPr>
          <w:trHeight w:val="332"/>
        </w:trPr>
        <w:tc>
          <w:tcPr>
            <w:tcW w:w="3060" w:type="dxa"/>
            <w:shd w:val="clear" w:color="auto" w:fill="C5E0B3" w:themeFill="accent6" w:themeFillTint="66"/>
          </w:tcPr>
          <w:p w:rsidR="00C1352C" w:rsidRPr="00A6411D" w:rsidRDefault="00C1352C" w:rsidP="00243BA4">
            <w:pPr>
              <w:spacing w:line="276" w:lineRule="auto"/>
              <w:jc w:val="both"/>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Kriteret</w:t>
            </w:r>
          </w:p>
        </w:tc>
        <w:tc>
          <w:tcPr>
            <w:tcW w:w="6660" w:type="dxa"/>
            <w:gridSpan w:val="4"/>
            <w:shd w:val="clear" w:color="auto" w:fill="C5E0B3" w:themeFill="accent6" w:themeFillTint="66"/>
          </w:tcPr>
          <w:p w:rsidR="00C1352C" w:rsidRPr="00A6411D" w:rsidRDefault="00C1352C" w:rsidP="0043272C">
            <w:pPr>
              <w:spacing w:line="276" w:lineRule="auto"/>
              <w:jc w:val="center"/>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Vlerësimi i ekspertëve</w:t>
            </w:r>
          </w:p>
        </w:tc>
      </w:tr>
      <w:tr w:rsidR="00826B13" w:rsidRPr="00A6411D" w:rsidTr="00342D97">
        <w:tc>
          <w:tcPr>
            <w:tcW w:w="3060" w:type="dxa"/>
          </w:tcPr>
          <w:p w:rsidR="00826B13" w:rsidRPr="00AE4B06" w:rsidRDefault="00AE4B06" w:rsidP="0043272C">
            <w:pPr>
              <w:spacing w:line="276" w:lineRule="auto"/>
              <w:rPr>
                <w:rFonts w:ascii="Times New Roman" w:hAnsi="Times New Roman" w:cs="Times New Roman"/>
                <w:sz w:val="20"/>
                <w:szCs w:val="20"/>
              </w:rPr>
            </w:pPr>
            <w:r w:rsidRPr="00AE4B06">
              <w:rPr>
                <w:rFonts w:ascii="Times New Roman" w:hAnsi="Times New Roman" w:cs="Times New Roman"/>
                <w:b/>
                <w:sz w:val="20"/>
                <w:szCs w:val="20"/>
              </w:rPr>
              <w:t>Kriteri 1:</w:t>
            </w:r>
            <w:r w:rsidRPr="00AE4B06">
              <w:rPr>
                <w:rFonts w:ascii="Times New Roman" w:hAnsi="Times New Roman" w:cs="Times New Roman"/>
                <w:sz w:val="20"/>
                <w:szCs w:val="20"/>
              </w:rPr>
              <w:t xml:space="preserve"> Studenti i pranuar në programin e studimit specializues afatgjatë në fushën e mjekësisë ka përfunduar programin e integruar të studimeve universitare të integruara të ciklit të dytë me kohëzgjatje 5 vjeçare (300 ECTS) në Farmaci dhe Stomatologji dhe 6 vjeçare (360 ECTS) në Mjekësi e përgjithshme, pranë një universiteti të akredituar për programin në fjalë dhe ka fituar diplomën universitare “Master i Shkencave”. Për studentët e diplomuar në të njëjtat programe jashtë shtetit, duhet të paraqesin diplomën dhe lejen për ushtrimin e profesionit të njohur nga institucioni shtetëror pë</w:t>
            </w:r>
            <w:r w:rsidR="0043272C">
              <w:rPr>
                <w:rFonts w:ascii="Times New Roman" w:hAnsi="Times New Roman" w:cs="Times New Roman"/>
                <w:sz w:val="20"/>
                <w:szCs w:val="20"/>
              </w:rPr>
              <w:t>rgjegjës.</w:t>
            </w: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826B13" w:rsidRPr="00AE4B06" w:rsidRDefault="00AE4B06" w:rsidP="0043272C">
            <w:pPr>
              <w:spacing w:line="276" w:lineRule="auto"/>
              <w:rPr>
                <w:rFonts w:ascii="Times New Roman" w:hAnsi="Times New Roman" w:cs="Times New Roman"/>
                <w:sz w:val="20"/>
                <w:szCs w:val="20"/>
              </w:rPr>
            </w:pPr>
            <w:r w:rsidRPr="00AE4B06">
              <w:rPr>
                <w:rFonts w:ascii="Times New Roman" w:hAnsi="Times New Roman" w:cs="Times New Roman"/>
                <w:b/>
                <w:sz w:val="20"/>
                <w:szCs w:val="20"/>
              </w:rPr>
              <w:t>Kriteri 2:</w:t>
            </w:r>
            <w:r w:rsidRPr="00AE4B06">
              <w:rPr>
                <w:rFonts w:ascii="Times New Roman" w:hAnsi="Times New Roman" w:cs="Times New Roman"/>
                <w:sz w:val="20"/>
                <w:szCs w:val="20"/>
              </w:rPr>
              <w:t xml:space="preserve"> Kandidati që aplikon për të vazhduar programin e studimeve të ciklit të tretë, për specializim afatgjatë në fushën e mjekësisë, i nënshtrohet një konkursi pranimi për të testuar njohuritë n</w:t>
            </w:r>
            <w:r w:rsidR="0043272C">
              <w:rPr>
                <w:rFonts w:ascii="Times New Roman" w:hAnsi="Times New Roman" w:cs="Times New Roman"/>
                <w:sz w:val="20"/>
                <w:szCs w:val="20"/>
              </w:rPr>
              <w:t>ë fushën përkatëse të studimit.</w:t>
            </w: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AE4B06" w:rsidRPr="00AE4B06" w:rsidRDefault="00AE4B06" w:rsidP="00AE4B06">
            <w:pPr>
              <w:spacing w:line="276" w:lineRule="auto"/>
              <w:rPr>
                <w:rFonts w:ascii="Times New Roman" w:hAnsi="Times New Roman" w:cs="Times New Roman"/>
                <w:sz w:val="20"/>
                <w:szCs w:val="20"/>
              </w:rPr>
            </w:pPr>
            <w:r w:rsidRPr="00AE4B06">
              <w:rPr>
                <w:rFonts w:ascii="Times New Roman" w:hAnsi="Times New Roman" w:cs="Times New Roman"/>
                <w:b/>
                <w:sz w:val="20"/>
                <w:szCs w:val="20"/>
              </w:rPr>
              <w:t>Kriteri 3:</w:t>
            </w:r>
            <w:r w:rsidRPr="00AE4B06">
              <w:rPr>
                <w:rFonts w:ascii="Times New Roman" w:hAnsi="Times New Roman" w:cs="Times New Roman"/>
                <w:sz w:val="20"/>
                <w:szCs w:val="20"/>
              </w:rPr>
              <w:t xml:space="preserve"> Vlerësimi i studentit për pranimin në një program studimi bëhet me pikë kumulative duke vlerësuar të paktën elementët e mëposhtëm:</w:t>
            </w:r>
          </w:p>
          <w:p w:rsidR="00AE4B06" w:rsidRPr="00AE4B06" w:rsidRDefault="00AE4B06" w:rsidP="00AE4B06">
            <w:pPr>
              <w:pStyle w:val="ListParagraph"/>
              <w:numPr>
                <w:ilvl w:val="0"/>
                <w:numId w:val="14"/>
              </w:numPr>
              <w:spacing w:line="276" w:lineRule="auto"/>
              <w:rPr>
                <w:rFonts w:ascii="Times New Roman" w:hAnsi="Times New Roman" w:cs="Times New Roman"/>
                <w:sz w:val="20"/>
                <w:szCs w:val="20"/>
              </w:rPr>
            </w:pPr>
            <w:r w:rsidRPr="00AE4B06">
              <w:rPr>
                <w:rFonts w:ascii="Times New Roman" w:hAnsi="Times New Roman" w:cs="Times New Roman"/>
                <w:sz w:val="20"/>
                <w:szCs w:val="20"/>
              </w:rPr>
              <w:t xml:space="preserve">notën mesatare (notën përfundimtare sipas tipologjisë së diplomës që ai disponon) për jo më shumë se 30% të pikëve totale, </w:t>
            </w:r>
          </w:p>
          <w:p w:rsidR="00AE4B06" w:rsidRPr="00AE4B06" w:rsidRDefault="00AE4B06" w:rsidP="00AE4B06">
            <w:pPr>
              <w:pStyle w:val="ListParagraph"/>
              <w:numPr>
                <w:ilvl w:val="0"/>
                <w:numId w:val="14"/>
              </w:numPr>
              <w:spacing w:line="276" w:lineRule="auto"/>
              <w:rPr>
                <w:rFonts w:ascii="Times New Roman" w:hAnsi="Times New Roman" w:cs="Times New Roman"/>
                <w:sz w:val="20"/>
                <w:szCs w:val="20"/>
              </w:rPr>
            </w:pPr>
            <w:r w:rsidRPr="00AE4B06">
              <w:rPr>
                <w:rFonts w:ascii="Times New Roman" w:hAnsi="Times New Roman" w:cs="Times New Roman"/>
                <w:sz w:val="20"/>
                <w:szCs w:val="20"/>
              </w:rPr>
              <w:t xml:space="preserve">testimin e përgjithshëm me shkrim për 30-40% të pikëve totale, </w:t>
            </w:r>
          </w:p>
          <w:p w:rsidR="00826B13" w:rsidRPr="0043272C" w:rsidRDefault="00AE4B06" w:rsidP="0043272C">
            <w:pPr>
              <w:pStyle w:val="ListParagraph"/>
              <w:numPr>
                <w:ilvl w:val="0"/>
                <w:numId w:val="14"/>
              </w:numPr>
              <w:spacing w:line="276" w:lineRule="auto"/>
              <w:rPr>
                <w:rFonts w:ascii="Times New Roman" w:hAnsi="Times New Roman" w:cs="Times New Roman"/>
                <w:sz w:val="20"/>
                <w:szCs w:val="20"/>
              </w:rPr>
            </w:pPr>
            <w:r w:rsidRPr="00AE4B06">
              <w:rPr>
                <w:rFonts w:ascii="Times New Roman" w:hAnsi="Times New Roman" w:cs="Times New Roman"/>
                <w:sz w:val="20"/>
                <w:szCs w:val="20"/>
              </w:rPr>
              <w:t xml:space="preserve">testimin me shkrim specifik sipas programit të </w:t>
            </w:r>
            <w:r w:rsidRPr="00AE4B06">
              <w:rPr>
                <w:rFonts w:ascii="Times New Roman" w:hAnsi="Times New Roman" w:cs="Times New Roman"/>
                <w:sz w:val="20"/>
                <w:szCs w:val="20"/>
              </w:rPr>
              <w:lastRenderedPageBreak/>
              <w:t xml:space="preserve">specializimit për të cilin konkurron për 40-50% të pikëve totale. </w:t>
            </w: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AE4B06" w:rsidRPr="00AE4B06" w:rsidRDefault="00AE4B06" w:rsidP="00AE4B06">
            <w:pPr>
              <w:spacing w:line="276" w:lineRule="auto"/>
              <w:rPr>
                <w:rFonts w:ascii="Times New Roman" w:hAnsi="Times New Roman" w:cs="Times New Roman"/>
                <w:sz w:val="20"/>
                <w:szCs w:val="20"/>
              </w:rPr>
            </w:pPr>
            <w:r w:rsidRPr="00AE4B06">
              <w:rPr>
                <w:rFonts w:ascii="Times New Roman" w:hAnsi="Times New Roman" w:cs="Times New Roman"/>
                <w:b/>
                <w:sz w:val="20"/>
                <w:szCs w:val="20"/>
              </w:rPr>
              <w:t>Kriteri 4:</w:t>
            </w:r>
            <w:r w:rsidRPr="00AE4B06">
              <w:rPr>
                <w:rFonts w:ascii="Times New Roman" w:hAnsi="Times New Roman" w:cs="Times New Roman"/>
                <w:sz w:val="20"/>
                <w:szCs w:val="20"/>
              </w:rPr>
              <w:t xml:space="preserve"> Kandidati që aplikon në programet e ciklit të tretë specializim afatgjatë duhet të ketë përfunduar me sukses provimin e shtetit në profesionin përkatës ose të ketë fituar të drejtën e ushtrimit të profesionit në RSH ose jashtë saj (njohur në RSH).</w:t>
            </w:r>
          </w:p>
          <w:p w:rsidR="00826B13" w:rsidRPr="00AE4B06" w:rsidRDefault="00AE4B06" w:rsidP="0043272C">
            <w:pPr>
              <w:spacing w:line="276" w:lineRule="auto"/>
              <w:rPr>
                <w:rFonts w:ascii="Times New Roman" w:hAnsi="Times New Roman" w:cs="Times New Roman"/>
                <w:sz w:val="20"/>
                <w:szCs w:val="20"/>
              </w:rPr>
            </w:pPr>
            <w:r w:rsidRPr="00AE4B06">
              <w:rPr>
                <w:rFonts w:ascii="Times New Roman" w:hAnsi="Times New Roman" w:cs="Times New Roman"/>
                <w:sz w:val="20"/>
                <w:szCs w:val="20"/>
              </w:rPr>
              <w:t>Studenti mund të riaplikojë për të konkuruar në një program tjetër specializues në një IAL sipas parashikimeve ligjore në fuqi.  Studentit mund t’i njihen ECTS-të e grumbulluara për studimet e organizuara teorike nëse gjykohet se përputhen me fushën e pro</w:t>
            </w:r>
            <w:r w:rsidR="0043272C">
              <w:rPr>
                <w:rFonts w:ascii="Times New Roman" w:hAnsi="Times New Roman" w:cs="Times New Roman"/>
                <w:sz w:val="20"/>
                <w:szCs w:val="20"/>
              </w:rPr>
              <w:t>gramit të ri ku ai ka aplikuar.</w:t>
            </w: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826B13" w:rsidRPr="00AE4B06" w:rsidRDefault="00AE4B06" w:rsidP="0043272C">
            <w:pPr>
              <w:spacing w:line="276" w:lineRule="auto"/>
              <w:rPr>
                <w:rFonts w:ascii="Times New Roman" w:hAnsi="Times New Roman" w:cs="Times New Roman"/>
                <w:sz w:val="20"/>
                <w:szCs w:val="20"/>
              </w:rPr>
            </w:pPr>
            <w:r w:rsidRPr="00AE4B06">
              <w:rPr>
                <w:rFonts w:ascii="Times New Roman" w:hAnsi="Times New Roman" w:cs="Times New Roman"/>
                <w:b/>
                <w:sz w:val="20"/>
                <w:szCs w:val="20"/>
              </w:rPr>
              <w:t>Kriteri 5:</w:t>
            </w:r>
            <w:r w:rsidRPr="00AE4B06">
              <w:rPr>
                <w:rFonts w:ascii="Times New Roman" w:hAnsi="Times New Roman" w:cs="Times New Roman"/>
                <w:sz w:val="20"/>
                <w:szCs w:val="20"/>
              </w:rPr>
              <w:t xml:space="preserve"> Kriteret minimale për t’u kualifikuar ne përzgjedhjen e programit të studimit specializim afatgjate janë të pasqyruara në rregulloren e programeve të studimeve të specializimeve afatgjata në fushën e mjekësisë dhe të </w:t>
            </w:r>
            <w:r w:rsidR="0043272C">
              <w:rPr>
                <w:rFonts w:ascii="Times New Roman" w:hAnsi="Times New Roman" w:cs="Times New Roman"/>
                <w:sz w:val="20"/>
                <w:szCs w:val="20"/>
              </w:rPr>
              <w:t xml:space="preserve">aprovuara nga Senati Akademik. </w:t>
            </w: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AE4B06" w:rsidRPr="00A6411D" w:rsidTr="00342D97">
        <w:tc>
          <w:tcPr>
            <w:tcW w:w="3060" w:type="dxa"/>
          </w:tcPr>
          <w:p w:rsidR="00AE4B06" w:rsidRPr="00AE4B06" w:rsidRDefault="00AE4B06" w:rsidP="00AE4B06">
            <w:pPr>
              <w:spacing w:line="276" w:lineRule="auto"/>
              <w:rPr>
                <w:rFonts w:ascii="Times New Roman" w:hAnsi="Times New Roman" w:cs="Times New Roman"/>
                <w:sz w:val="20"/>
                <w:szCs w:val="20"/>
              </w:rPr>
            </w:pPr>
            <w:r w:rsidRPr="00EF2161">
              <w:rPr>
                <w:rFonts w:ascii="Times New Roman" w:hAnsi="Times New Roman" w:cs="Times New Roman"/>
                <w:b/>
                <w:sz w:val="20"/>
                <w:szCs w:val="20"/>
              </w:rPr>
              <w:t>Kriteri 6:</w:t>
            </w:r>
            <w:r w:rsidRPr="00AE4B06">
              <w:rPr>
                <w:rFonts w:ascii="Times New Roman" w:hAnsi="Times New Roman" w:cs="Times New Roman"/>
                <w:sz w:val="20"/>
                <w:szCs w:val="20"/>
              </w:rPr>
              <w:t xml:space="preserve"> Aplikanti njihet me rregulloren e specializimeve afatgjata të miratuar nga Senati akademik i IAL, me kriteret minimale të pranimit, në faqen zyrtare të IAL dhe/ose njësisë kryes</w:t>
            </w:r>
            <w:r w:rsidR="0043272C">
              <w:rPr>
                <w:rFonts w:ascii="Times New Roman" w:hAnsi="Times New Roman" w:cs="Times New Roman"/>
                <w:sz w:val="20"/>
                <w:szCs w:val="20"/>
              </w:rPr>
              <w:t>ore, para se të pranohet në të.</w:t>
            </w:r>
          </w:p>
        </w:tc>
        <w:tc>
          <w:tcPr>
            <w:tcW w:w="6660" w:type="dxa"/>
            <w:gridSpan w:val="4"/>
          </w:tcPr>
          <w:p w:rsidR="00AE4B06" w:rsidRPr="00A6411D" w:rsidRDefault="00AE4B06" w:rsidP="00243BA4">
            <w:pPr>
              <w:spacing w:line="276" w:lineRule="auto"/>
              <w:jc w:val="both"/>
              <w:rPr>
                <w:rFonts w:ascii="Times New Roman" w:hAnsi="Times New Roman" w:cs="Times New Roman"/>
                <w:b/>
              </w:rPr>
            </w:pPr>
          </w:p>
        </w:tc>
      </w:tr>
      <w:tr w:rsidR="00C1352C" w:rsidRPr="00A6411D" w:rsidTr="00342D97">
        <w:trPr>
          <w:trHeight w:val="315"/>
        </w:trPr>
        <w:tc>
          <w:tcPr>
            <w:tcW w:w="3060" w:type="dxa"/>
            <w:vMerge w:val="restart"/>
            <w:shd w:val="clear" w:color="auto" w:fill="F7CAAC" w:themeFill="accent2" w:themeFillTint="66"/>
          </w:tcPr>
          <w:p w:rsidR="00C1352C" w:rsidRPr="00A6411D" w:rsidRDefault="00C1352C" w:rsidP="00243BA4">
            <w:pPr>
              <w:spacing w:line="276" w:lineRule="auto"/>
              <w:rPr>
                <w:rFonts w:ascii="Times New Roman" w:hAnsi="Times New Roman" w:cs="Times New Roman"/>
                <w:b/>
              </w:rPr>
            </w:pPr>
            <w:r w:rsidRPr="00A6411D">
              <w:rPr>
                <w:rFonts w:ascii="Times New Roman" w:hAnsi="Times New Roman" w:cs="Times New Roman"/>
                <w:b/>
              </w:rPr>
              <w:t>Shkalla e përmbushjes së standardit</w:t>
            </w:r>
          </w:p>
        </w:tc>
        <w:tc>
          <w:tcPr>
            <w:tcW w:w="1620" w:type="dxa"/>
            <w:shd w:val="clear" w:color="auto" w:fill="FF00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Nuk përmbushet</w:t>
            </w:r>
          </w:p>
        </w:tc>
        <w:tc>
          <w:tcPr>
            <w:tcW w:w="1440" w:type="dxa"/>
            <w:shd w:val="clear" w:color="auto" w:fill="FF66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pjesërisht</w:t>
            </w:r>
          </w:p>
        </w:tc>
        <w:tc>
          <w:tcPr>
            <w:tcW w:w="1710" w:type="dxa"/>
            <w:shd w:val="clear" w:color="auto" w:fill="CCCC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krye</w:t>
            </w:r>
            <w:r w:rsidRPr="00A6411D">
              <w:rPr>
                <w:rFonts w:ascii="Times New Roman" w:hAnsi="Times New Roman" w:cs="Times New Roman"/>
                <w:b/>
                <w:shd w:val="clear" w:color="auto" w:fill="CCCC00"/>
              </w:rPr>
              <w:t>s</w:t>
            </w:r>
            <w:r w:rsidRPr="00A6411D">
              <w:rPr>
                <w:rFonts w:ascii="Times New Roman" w:hAnsi="Times New Roman" w:cs="Times New Roman"/>
                <w:b/>
              </w:rPr>
              <w:t>isht</w:t>
            </w:r>
          </w:p>
        </w:tc>
        <w:tc>
          <w:tcPr>
            <w:tcW w:w="1890" w:type="dxa"/>
            <w:shd w:val="clear" w:color="auto" w:fill="92D05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plotësisht</w:t>
            </w:r>
          </w:p>
        </w:tc>
      </w:tr>
      <w:tr w:rsidR="00C1352C" w:rsidRPr="00A6411D" w:rsidTr="00342D97">
        <w:trPr>
          <w:trHeight w:val="315"/>
        </w:trPr>
        <w:tc>
          <w:tcPr>
            <w:tcW w:w="3060" w:type="dxa"/>
            <w:vMerge/>
            <w:shd w:val="clear" w:color="auto" w:fill="F7CAAC" w:themeFill="accent2" w:themeFillTint="66"/>
          </w:tcPr>
          <w:p w:rsidR="00C1352C" w:rsidRPr="00A6411D" w:rsidRDefault="00C1352C" w:rsidP="00243BA4">
            <w:pPr>
              <w:spacing w:line="276" w:lineRule="auto"/>
              <w:rPr>
                <w:rFonts w:ascii="Times New Roman" w:hAnsi="Times New Roman" w:cs="Times New Roman"/>
                <w:b/>
              </w:rPr>
            </w:pPr>
          </w:p>
        </w:tc>
        <w:tc>
          <w:tcPr>
            <w:tcW w:w="1620" w:type="dxa"/>
          </w:tcPr>
          <w:p w:rsidR="00C1352C" w:rsidRPr="00A6411D" w:rsidRDefault="00C1352C" w:rsidP="00243BA4">
            <w:pPr>
              <w:spacing w:line="276" w:lineRule="auto"/>
              <w:jc w:val="both"/>
              <w:rPr>
                <w:rFonts w:ascii="Times New Roman" w:hAnsi="Times New Roman" w:cs="Times New Roman"/>
                <w:b/>
              </w:rPr>
            </w:pPr>
          </w:p>
        </w:tc>
        <w:tc>
          <w:tcPr>
            <w:tcW w:w="1440" w:type="dxa"/>
          </w:tcPr>
          <w:p w:rsidR="00C1352C" w:rsidRPr="00A6411D" w:rsidRDefault="00C1352C" w:rsidP="00243BA4">
            <w:pPr>
              <w:spacing w:line="276" w:lineRule="auto"/>
              <w:jc w:val="both"/>
              <w:rPr>
                <w:rFonts w:ascii="Times New Roman" w:hAnsi="Times New Roman" w:cs="Times New Roman"/>
                <w:b/>
              </w:rPr>
            </w:pPr>
          </w:p>
        </w:tc>
        <w:tc>
          <w:tcPr>
            <w:tcW w:w="1710" w:type="dxa"/>
          </w:tcPr>
          <w:p w:rsidR="00C1352C" w:rsidRPr="00A6411D" w:rsidRDefault="00C1352C" w:rsidP="00243BA4">
            <w:pPr>
              <w:spacing w:line="276" w:lineRule="auto"/>
              <w:jc w:val="both"/>
              <w:rPr>
                <w:rFonts w:ascii="Times New Roman" w:hAnsi="Times New Roman" w:cs="Times New Roman"/>
                <w:b/>
              </w:rPr>
            </w:pPr>
          </w:p>
        </w:tc>
        <w:tc>
          <w:tcPr>
            <w:tcW w:w="1890" w:type="dxa"/>
          </w:tcPr>
          <w:p w:rsidR="00C1352C" w:rsidRPr="00A6411D" w:rsidRDefault="00C1352C" w:rsidP="00243BA4">
            <w:pPr>
              <w:spacing w:line="276" w:lineRule="auto"/>
              <w:jc w:val="both"/>
              <w:rPr>
                <w:rFonts w:ascii="Times New Roman" w:hAnsi="Times New Roman" w:cs="Times New Roman"/>
                <w:b/>
              </w:rPr>
            </w:pPr>
          </w:p>
        </w:tc>
      </w:tr>
    </w:tbl>
    <w:p w:rsidR="00DE1FEF" w:rsidRPr="00A6411D" w:rsidRDefault="00DE1FEF"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636"/>
        <w:gridCol w:w="1424"/>
        <w:gridCol w:w="1710"/>
        <w:gridCol w:w="1890"/>
      </w:tblGrid>
      <w:tr w:rsidR="00C1352C" w:rsidRPr="00A6411D" w:rsidTr="00243BA4">
        <w:tc>
          <w:tcPr>
            <w:tcW w:w="9720" w:type="dxa"/>
            <w:gridSpan w:val="5"/>
            <w:shd w:val="clear" w:color="auto" w:fill="F7CAAC" w:themeFill="accent2" w:themeFillTint="66"/>
          </w:tcPr>
          <w:p w:rsidR="00C1352C" w:rsidRPr="00A6411D" w:rsidRDefault="00C1352C" w:rsidP="00243BA4">
            <w:pPr>
              <w:spacing w:line="276" w:lineRule="auto"/>
              <w:jc w:val="both"/>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Standardi II.4</w:t>
            </w:r>
            <w:r w:rsidRPr="00A6411D">
              <w:rPr>
                <w:rFonts w:ascii="Times New Roman" w:eastAsia="Times New Roman" w:hAnsi="Times New Roman" w:cs="Times New Roman"/>
                <w:b/>
                <w:bCs/>
                <w:lang w:val="sq-AL"/>
              </w:rPr>
              <w:tab/>
            </w:r>
          </w:p>
          <w:p w:rsidR="00C1352C" w:rsidRPr="00A6411D" w:rsidRDefault="00EF2161" w:rsidP="00243BA4">
            <w:pPr>
              <w:spacing w:line="276" w:lineRule="auto"/>
              <w:jc w:val="both"/>
              <w:rPr>
                <w:rFonts w:ascii="Times New Roman" w:hAnsi="Times New Roman" w:cs="Times New Roman"/>
                <w:b/>
              </w:rPr>
            </w:pPr>
            <w:r w:rsidRPr="00EF2161">
              <w:rPr>
                <w:rFonts w:ascii="Times New Roman" w:eastAsia="Times New Roman" w:hAnsi="Times New Roman" w:cs="Times New Roman"/>
                <w:b/>
                <w:bCs/>
                <w:lang w:val="sq-AL"/>
              </w:rPr>
              <w:t>Hartimi dhe miratimi i rregullores së specializimeve afatgjata</w:t>
            </w:r>
            <w:r>
              <w:rPr>
                <w:rFonts w:ascii="Times New Roman" w:eastAsia="Times New Roman" w:hAnsi="Times New Roman" w:cs="Times New Roman"/>
                <w:b/>
                <w:bCs/>
                <w:lang w:val="sq-AL"/>
              </w:rPr>
              <w:t>.</w:t>
            </w:r>
          </w:p>
        </w:tc>
      </w:tr>
      <w:tr w:rsidR="00C1352C" w:rsidRPr="00A6411D" w:rsidTr="0043272C">
        <w:trPr>
          <w:trHeight w:val="350"/>
        </w:trPr>
        <w:tc>
          <w:tcPr>
            <w:tcW w:w="3060" w:type="dxa"/>
            <w:shd w:val="clear" w:color="auto" w:fill="C5E0B3" w:themeFill="accent6" w:themeFillTint="66"/>
          </w:tcPr>
          <w:p w:rsidR="00C1352C" w:rsidRPr="00A6411D" w:rsidRDefault="00C1352C" w:rsidP="00243BA4">
            <w:pPr>
              <w:spacing w:line="276" w:lineRule="auto"/>
              <w:jc w:val="both"/>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Kriteret</w:t>
            </w:r>
          </w:p>
        </w:tc>
        <w:tc>
          <w:tcPr>
            <w:tcW w:w="6660" w:type="dxa"/>
            <w:gridSpan w:val="4"/>
            <w:shd w:val="clear" w:color="auto" w:fill="C5E0B3" w:themeFill="accent6" w:themeFillTint="66"/>
          </w:tcPr>
          <w:p w:rsidR="00C1352C" w:rsidRPr="00A6411D" w:rsidRDefault="00C1352C" w:rsidP="0043272C">
            <w:pPr>
              <w:spacing w:line="276" w:lineRule="auto"/>
              <w:jc w:val="center"/>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Vlerësimi i ekspertëve</w:t>
            </w:r>
          </w:p>
        </w:tc>
      </w:tr>
      <w:tr w:rsidR="00826B13" w:rsidRPr="00A6411D" w:rsidTr="00342D97">
        <w:tc>
          <w:tcPr>
            <w:tcW w:w="3060" w:type="dxa"/>
          </w:tcPr>
          <w:p w:rsidR="00826B13" w:rsidRPr="00EF2161" w:rsidRDefault="00EF2161" w:rsidP="0043272C">
            <w:pPr>
              <w:spacing w:line="276" w:lineRule="auto"/>
              <w:rPr>
                <w:rFonts w:ascii="Times New Roman" w:hAnsi="Times New Roman" w:cs="Times New Roman"/>
                <w:sz w:val="20"/>
                <w:szCs w:val="20"/>
              </w:rPr>
            </w:pPr>
            <w:r w:rsidRPr="00285681">
              <w:rPr>
                <w:rFonts w:ascii="Times New Roman" w:hAnsi="Times New Roman" w:cs="Times New Roman"/>
                <w:b/>
                <w:sz w:val="20"/>
                <w:szCs w:val="20"/>
              </w:rPr>
              <w:t>Kriteri 1:</w:t>
            </w:r>
            <w:r w:rsidRPr="00EF2161">
              <w:rPr>
                <w:rFonts w:ascii="Times New Roman" w:hAnsi="Times New Roman" w:cs="Times New Roman"/>
                <w:sz w:val="20"/>
                <w:szCs w:val="20"/>
              </w:rPr>
              <w:t xml:space="preserve"> Rregullorja është hartuar në përputhje me standardet e specializimeve në fushën e mjekësisë dhe me aktet ligjore </w:t>
            </w:r>
            <w:r w:rsidR="0043272C">
              <w:rPr>
                <w:rFonts w:ascii="Times New Roman" w:hAnsi="Times New Roman" w:cs="Times New Roman"/>
                <w:sz w:val="20"/>
                <w:szCs w:val="20"/>
              </w:rPr>
              <w:t>e nënligjore në fuqi.</w:t>
            </w: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826B13" w:rsidRPr="00EF2161" w:rsidRDefault="00EF2161" w:rsidP="0043272C">
            <w:pPr>
              <w:spacing w:line="276" w:lineRule="auto"/>
              <w:rPr>
                <w:rFonts w:ascii="Times New Roman" w:hAnsi="Times New Roman" w:cs="Times New Roman"/>
                <w:sz w:val="20"/>
                <w:szCs w:val="20"/>
              </w:rPr>
            </w:pPr>
            <w:r w:rsidRPr="00285681">
              <w:rPr>
                <w:rFonts w:ascii="Times New Roman" w:hAnsi="Times New Roman" w:cs="Times New Roman"/>
                <w:b/>
                <w:sz w:val="20"/>
                <w:szCs w:val="20"/>
              </w:rPr>
              <w:t>Kriteri 2:</w:t>
            </w:r>
            <w:r w:rsidRPr="00EF2161">
              <w:rPr>
                <w:rFonts w:ascii="Times New Roman" w:hAnsi="Times New Roman" w:cs="Times New Roman"/>
                <w:sz w:val="20"/>
                <w:szCs w:val="20"/>
              </w:rPr>
              <w:t xml:space="preserve"> Rregullorja hyn në fuqi në fillim të çdo viti akademik dhe përditësohet çdo vit të ri akademik. </w:t>
            </w:r>
            <w:r w:rsidRPr="00EF2161">
              <w:rPr>
                <w:rFonts w:ascii="Times New Roman" w:hAnsi="Times New Roman" w:cs="Times New Roman"/>
                <w:sz w:val="20"/>
                <w:szCs w:val="20"/>
              </w:rPr>
              <w:lastRenderedPageBreak/>
              <w:t>Nëse ska ndryshime, është ne fuqi rreg</w:t>
            </w:r>
            <w:r w:rsidR="0043272C">
              <w:rPr>
                <w:rFonts w:ascii="Times New Roman" w:hAnsi="Times New Roman" w:cs="Times New Roman"/>
                <w:sz w:val="20"/>
                <w:szCs w:val="20"/>
              </w:rPr>
              <w:t>ullorja e fundit e përditësuar.</w:t>
            </w: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826B13" w:rsidRPr="00EF2161" w:rsidRDefault="00EF2161" w:rsidP="0043272C">
            <w:pPr>
              <w:spacing w:line="276" w:lineRule="auto"/>
              <w:rPr>
                <w:rFonts w:ascii="Times New Roman" w:hAnsi="Times New Roman" w:cs="Times New Roman"/>
                <w:sz w:val="20"/>
                <w:szCs w:val="20"/>
              </w:rPr>
            </w:pPr>
            <w:r w:rsidRPr="00285681">
              <w:rPr>
                <w:rFonts w:ascii="Times New Roman" w:hAnsi="Times New Roman" w:cs="Times New Roman"/>
                <w:b/>
                <w:sz w:val="20"/>
                <w:szCs w:val="20"/>
              </w:rPr>
              <w:t>Kriteri 3:</w:t>
            </w:r>
            <w:r w:rsidRPr="00EF2161">
              <w:rPr>
                <w:rFonts w:ascii="Times New Roman" w:hAnsi="Times New Roman" w:cs="Times New Roman"/>
                <w:sz w:val="20"/>
                <w:szCs w:val="20"/>
              </w:rPr>
              <w:t xml:space="preserve"> Përditësimet në rregulloren e specializimeve afatgjata i përkasin ciklit të specializimit që fillojnë për herë të parë me rregulloren e përditësuar deri në përfundim të tij.  Nëse është të nevojshme, ndryshimet në rregulloret pasardhëse duhet të përjashtojnë shprehimisht ciklin e nisur të specia</w:t>
            </w:r>
            <w:r w:rsidR="0043272C">
              <w:rPr>
                <w:rFonts w:ascii="Times New Roman" w:hAnsi="Times New Roman" w:cs="Times New Roman"/>
                <w:sz w:val="20"/>
                <w:szCs w:val="20"/>
              </w:rPr>
              <w:t>lizimit.</w:t>
            </w: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826B13" w:rsidRPr="00EF2161" w:rsidRDefault="00EF2161" w:rsidP="0043272C">
            <w:pPr>
              <w:spacing w:line="276" w:lineRule="auto"/>
              <w:rPr>
                <w:rFonts w:ascii="Times New Roman" w:hAnsi="Times New Roman" w:cs="Times New Roman"/>
                <w:sz w:val="20"/>
                <w:szCs w:val="20"/>
              </w:rPr>
            </w:pPr>
            <w:r w:rsidRPr="00EF2161">
              <w:rPr>
                <w:rFonts w:ascii="Times New Roman" w:hAnsi="Times New Roman" w:cs="Times New Roman"/>
                <w:sz w:val="20"/>
                <w:szCs w:val="20"/>
              </w:rPr>
              <w:t>Kriteri 4: Rregullorja propozohet nga Njësia kryesore që ofron programin e specializimeve dhe aprov</w:t>
            </w:r>
            <w:r w:rsidR="0043272C">
              <w:rPr>
                <w:rFonts w:ascii="Times New Roman" w:hAnsi="Times New Roman" w:cs="Times New Roman"/>
                <w:sz w:val="20"/>
                <w:szCs w:val="20"/>
              </w:rPr>
              <w:t>ohet nga senati akademik i IAL.</w:t>
            </w: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C1352C" w:rsidRPr="00A6411D" w:rsidTr="00342D97">
        <w:trPr>
          <w:trHeight w:val="315"/>
        </w:trPr>
        <w:tc>
          <w:tcPr>
            <w:tcW w:w="3060" w:type="dxa"/>
            <w:vMerge w:val="restart"/>
            <w:shd w:val="clear" w:color="auto" w:fill="F7CAAC" w:themeFill="accent2" w:themeFillTint="66"/>
          </w:tcPr>
          <w:p w:rsidR="00C1352C" w:rsidRPr="00A6411D" w:rsidRDefault="00C1352C" w:rsidP="00243BA4">
            <w:pPr>
              <w:spacing w:line="276" w:lineRule="auto"/>
              <w:rPr>
                <w:rFonts w:ascii="Times New Roman" w:hAnsi="Times New Roman" w:cs="Times New Roman"/>
                <w:b/>
              </w:rPr>
            </w:pPr>
            <w:r w:rsidRPr="00A6411D">
              <w:rPr>
                <w:rFonts w:ascii="Times New Roman" w:hAnsi="Times New Roman" w:cs="Times New Roman"/>
                <w:b/>
              </w:rPr>
              <w:t>Shkalla e përmbushjes së standardit</w:t>
            </w:r>
          </w:p>
        </w:tc>
        <w:tc>
          <w:tcPr>
            <w:tcW w:w="1636" w:type="dxa"/>
            <w:shd w:val="clear" w:color="auto" w:fill="FF00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Nuk përmbushet</w:t>
            </w:r>
          </w:p>
        </w:tc>
        <w:tc>
          <w:tcPr>
            <w:tcW w:w="1424" w:type="dxa"/>
            <w:shd w:val="clear" w:color="auto" w:fill="FF66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pjesërisht</w:t>
            </w:r>
          </w:p>
        </w:tc>
        <w:tc>
          <w:tcPr>
            <w:tcW w:w="1710" w:type="dxa"/>
            <w:shd w:val="clear" w:color="auto" w:fill="CCCC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krye</w:t>
            </w:r>
            <w:r w:rsidRPr="00A6411D">
              <w:rPr>
                <w:rFonts w:ascii="Times New Roman" w:hAnsi="Times New Roman" w:cs="Times New Roman"/>
                <w:b/>
                <w:shd w:val="clear" w:color="auto" w:fill="CCCC00"/>
              </w:rPr>
              <w:t>s</w:t>
            </w:r>
            <w:r w:rsidRPr="00A6411D">
              <w:rPr>
                <w:rFonts w:ascii="Times New Roman" w:hAnsi="Times New Roman" w:cs="Times New Roman"/>
                <w:b/>
              </w:rPr>
              <w:t>isht</w:t>
            </w:r>
          </w:p>
        </w:tc>
        <w:tc>
          <w:tcPr>
            <w:tcW w:w="1890" w:type="dxa"/>
            <w:shd w:val="clear" w:color="auto" w:fill="92D05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plotësisht</w:t>
            </w:r>
          </w:p>
        </w:tc>
      </w:tr>
      <w:tr w:rsidR="00C1352C" w:rsidRPr="00A6411D" w:rsidTr="00EF2161">
        <w:trPr>
          <w:trHeight w:val="395"/>
        </w:trPr>
        <w:tc>
          <w:tcPr>
            <w:tcW w:w="3060" w:type="dxa"/>
            <w:vMerge/>
            <w:shd w:val="clear" w:color="auto" w:fill="F7CAAC" w:themeFill="accent2" w:themeFillTint="66"/>
          </w:tcPr>
          <w:p w:rsidR="00C1352C" w:rsidRPr="00A6411D" w:rsidRDefault="00C1352C" w:rsidP="00243BA4">
            <w:pPr>
              <w:spacing w:line="276" w:lineRule="auto"/>
              <w:rPr>
                <w:rFonts w:ascii="Times New Roman" w:hAnsi="Times New Roman" w:cs="Times New Roman"/>
                <w:b/>
              </w:rPr>
            </w:pPr>
          </w:p>
        </w:tc>
        <w:tc>
          <w:tcPr>
            <w:tcW w:w="1636" w:type="dxa"/>
          </w:tcPr>
          <w:p w:rsidR="00C1352C" w:rsidRPr="00A6411D" w:rsidRDefault="00C1352C" w:rsidP="00243BA4">
            <w:pPr>
              <w:spacing w:line="276" w:lineRule="auto"/>
              <w:jc w:val="both"/>
              <w:rPr>
                <w:rFonts w:ascii="Times New Roman" w:hAnsi="Times New Roman" w:cs="Times New Roman"/>
                <w:b/>
              </w:rPr>
            </w:pPr>
          </w:p>
        </w:tc>
        <w:tc>
          <w:tcPr>
            <w:tcW w:w="1424" w:type="dxa"/>
          </w:tcPr>
          <w:p w:rsidR="00C1352C" w:rsidRPr="00A6411D" w:rsidRDefault="00C1352C" w:rsidP="00243BA4">
            <w:pPr>
              <w:spacing w:line="276" w:lineRule="auto"/>
              <w:jc w:val="both"/>
              <w:rPr>
                <w:rFonts w:ascii="Times New Roman" w:hAnsi="Times New Roman" w:cs="Times New Roman"/>
                <w:b/>
              </w:rPr>
            </w:pPr>
          </w:p>
        </w:tc>
        <w:tc>
          <w:tcPr>
            <w:tcW w:w="1710" w:type="dxa"/>
          </w:tcPr>
          <w:p w:rsidR="00C1352C" w:rsidRPr="00A6411D" w:rsidRDefault="00C1352C" w:rsidP="00243BA4">
            <w:pPr>
              <w:spacing w:line="276" w:lineRule="auto"/>
              <w:jc w:val="both"/>
              <w:rPr>
                <w:rFonts w:ascii="Times New Roman" w:hAnsi="Times New Roman" w:cs="Times New Roman"/>
                <w:b/>
              </w:rPr>
            </w:pPr>
          </w:p>
        </w:tc>
        <w:tc>
          <w:tcPr>
            <w:tcW w:w="1890" w:type="dxa"/>
          </w:tcPr>
          <w:p w:rsidR="00C1352C" w:rsidRPr="00A6411D" w:rsidRDefault="00C1352C" w:rsidP="00243BA4">
            <w:pPr>
              <w:spacing w:line="276" w:lineRule="auto"/>
              <w:jc w:val="both"/>
              <w:rPr>
                <w:rFonts w:ascii="Times New Roman" w:hAnsi="Times New Roman" w:cs="Times New Roman"/>
                <w:b/>
              </w:rPr>
            </w:pPr>
          </w:p>
        </w:tc>
      </w:tr>
    </w:tbl>
    <w:p w:rsidR="00DE1FEF" w:rsidRPr="00A6411D" w:rsidRDefault="00DE1FEF"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620"/>
        <w:gridCol w:w="1443"/>
        <w:gridCol w:w="1707"/>
        <w:gridCol w:w="1890"/>
      </w:tblGrid>
      <w:tr w:rsidR="00C1352C" w:rsidRPr="00A6411D" w:rsidTr="00243BA4">
        <w:tc>
          <w:tcPr>
            <w:tcW w:w="9720" w:type="dxa"/>
            <w:gridSpan w:val="5"/>
            <w:shd w:val="clear" w:color="auto" w:fill="F7CAAC" w:themeFill="accent2" w:themeFillTint="66"/>
          </w:tcPr>
          <w:p w:rsidR="00C1352C" w:rsidRPr="00A6411D" w:rsidRDefault="00C1352C" w:rsidP="00243BA4">
            <w:pPr>
              <w:spacing w:line="276" w:lineRule="auto"/>
              <w:jc w:val="both"/>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Standardi II.5</w:t>
            </w:r>
            <w:r w:rsidRPr="00A6411D">
              <w:rPr>
                <w:rFonts w:ascii="Times New Roman" w:eastAsia="Times New Roman" w:hAnsi="Times New Roman" w:cs="Times New Roman"/>
                <w:b/>
                <w:bCs/>
                <w:lang w:val="sq-AL"/>
              </w:rPr>
              <w:tab/>
            </w:r>
          </w:p>
          <w:p w:rsidR="00C1352C" w:rsidRPr="00A6411D" w:rsidRDefault="00285681" w:rsidP="00243BA4">
            <w:pPr>
              <w:spacing w:line="276" w:lineRule="auto"/>
              <w:jc w:val="both"/>
              <w:rPr>
                <w:rFonts w:ascii="Times New Roman" w:hAnsi="Times New Roman" w:cs="Times New Roman"/>
                <w:b/>
              </w:rPr>
            </w:pPr>
            <w:r w:rsidRPr="00285681">
              <w:rPr>
                <w:rFonts w:ascii="Times New Roman" w:eastAsia="Times New Roman" w:hAnsi="Times New Roman" w:cs="Times New Roman"/>
                <w:b/>
                <w:bCs/>
                <w:lang w:val="sq-AL"/>
              </w:rPr>
              <w:t>Rregullorja përcakton kriteret dhe mënyrën e përzgjedhjes së organeve drejtuese të programeve specializuese dhe tutorëve.</w:t>
            </w:r>
          </w:p>
        </w:tc>
      </w:tr>
      <w:tr w:rsidR="00C1352C" w:rsidRPr="00A6411D" w:rsidTr="0043272C">
        <w:trPr>
          <w:trHeight w:val="395"/>
        </w:trPr>
        <w:tc>
          <w:tcPr>
            <w:tcW w:w="3060" w:type="dxa"/>
            <w:shd w:val="clear" w:color="auto" w:fill="C5E0B3" w:themeFill="accent6" w:themeFillTint="66"/>
          </w:tcPr>
          <w:p w:rsidR="00C1352C" w:rsidRPr="00A6411D" w:rsidRDefault="00C1352C" w:rsidP="00243BA4">
            <w:pPr>
              <w:spacing w:line="276" w:lineRule="auto"/>
              <w:jc w:val="both"/>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Kriteret</w:t>
            </w:r>
          </w:p>
        </w:tc>
        <w:tc>
          <w:tcPr>
            <w:tcW w:w="6660" w:type="dxa"/>
            <w:gridSpan w:val="4"/>
            <w:shd w:val="clear" w:color="auto" w:fill="C5E0B3" w:themeFill="accent6" w:themeFillTint="66"/>
          </w:tcPr>
          <w:p w:rsidR="00C1352C" w:rsidRPr="00A6411D" w:rsidRDefault="00C1352C" w:rsidP="0043272C">
            <w:pPr>
              <w:spacing w:line="276" w:lineRule="auto"/>
              <w:jc w:val="center"/>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Vlerësimi i ekspertëve</w:t>
            </w:r>
          </w:p>
        </w:tc>
      </w:tr>
      <w:tr w:rsidR="00700CA3" w:rsidRPr="00A6411D" w:rsidTr="00A50EA8">
        <w:tc>
          <w:tcPr>
            <w:tcW w:w="3060" w:type="dxa"/>
          </w:tcPr>
          <w:p w:rsidR="00700CA3" w:rsidRPr="00285681" w:rsidRDefault="00285681" w:rsidP="0043272C">
            <w:pPr>
              <w:spacing w:line="276" w:lineRule="auto"/>
              <w:rPr>
                <w:rFonts w:ascii="Times New Roman" w:hAnsi="Times New Roman" w:cs="Times New Roman"/>
                <w:sz w:val="20"/>
                <w:szCs w:val="20"/>
              </w:rPr>
            </w:pPr>
            <w:r w:rsidRPr="00285681">
              <w:rPr>
                <w:rFonts w:ascii="Times New Roman" w:hAnsi="Times New Roman" w:cs="Times New Roman"/>
                <w:b/>
                <w:sz w:val="20"/>
                <w:szCs w:val="20"/>
              </w:rPr>
              <w:t>Kriteri 1:</w:t>
            </w:r>
            <w:r w:rsidRPr="00285681">
              <w:rPr>
                <w:rFonts w:ascii="Times New Roman" w:hAnsi="Times New Roman" w:cs="Times New Roman"/>
                <w:sz w:val="20"/>
                <w:szCs w:val="20"/>
              </w:rPr>
              <w:t xml:space="preserve"> Në rregullore pasqyrohen qartë kriteret dhe mënyra e përzgjedhjes së përgjegjësit të programit të specializimit, sipas </w:t>
            </w:r>
            <w:r w:rsidR="0043272C">
              <w:rPr>
                <w:rFonts w:ascii="Times New Roman" w:hAnsi="Times New Roman" w:cs="Times New Roman"/>
                <w:sz w:val="20"/>
                <w:szCs w:val="20"/>
              </w:rPr>
              <w:t>përcaktimeve në këto standarde.</w:t>
            </w:r>
          </w:p>
        </w:tc>
        <w:tc>
          <w:tcPr>
            <w:tcW w:w="6660" w:type="dxa"/>
            <w:gridSpan w:val="4"/>
          </w:tcPr>
          <w:p w:rsidR="00700CA3" w:rsidRPr="00A6411D" w:rsidRDefault="00700CA3" w:rsidP="00243BA4">
            <w:pPr>
              <w:spacing w:line="276" w:lineRule="auto"/>
              <w:jc w:val="both"/>
              <w:rPr>
                <w:rFonts w:ascii="Times New Roman" w:hAnsi="Times New Roman" w:cs="Times New Roman"/>
                <w:b/>
              </w:rPr>
            </w:pPr>
          </w:p>
        </w:tc>
      </w:tr>
      <w:tr w:rsidR="00700CA3" w:rsidRPr="00A6411D" w:rsidTr="00A50EA8">
        <w:tc>
          <w:tcPr>
            <w:tcW w:w="3060" w:type="dxa"/>
          </w:tcPr>
          <w:p w:rsidR="00700CA3" w:rsidRPr="00285681" w:rsidRDefault="00285681" w:rsidP="0043272C">
            <w:pPr>
              <w:spacing w:line="276" w:lineRule="auto"/>
              <w:rPr>
                <w:rFonts w:ascii="Times New Roman" w:hAnsi="Times New Roman" w:cs="Times New Roman"/>
                <w:sz w:val="20"/>
                <w:szCs w:val="20"/>
              </w:rPr>
            </w:pPr>
            <w:r w:rsidRPr="00285681">
              <w:rPr>
                <w:rFonts w:ascii="Times New Roman" w:hAnsi="Times New Roman" w:cs="Times New Roman"/>
                <w:b/>
                <w:sz w:val="20"/>
                <w:szCs w:val="20"/>
              </w:rPr>
              <w:t>Kriteri 2:</w:t>
            </w:r>
            <w:r w:rsidRPr="00285681">
              <w:rPr>
                <w:rFonts w:ascii="Times New Roman" w:hAnsi="Times New Roman" w:cs="Times New Roman"/>
                <w:sz w:val="20"/>
                <w:szCs w:val="20"/>
              </w:rPr>
              <w:t xml:space="preserve"> Në rregullore përcaktohen kriteret dhe mënyra e përzgjedhjes së mjekut përgjegjës/tutor për çdo spe</w:t>
            </w:r>
            <w:r w:rsidR="0043272C">
              <w:rPr>
                <w:rFonts w:ascii="Times New Roman" w:hAnsi="Times New Roman" w:cs="Times New Roman"/>
                <w:sz w:val="20"/>
                <w:szCs w:val="20"/>
              </w:rPr>
              <w:t>cializant si dhe detyrat e tij.</w:t>
            </w:r>
          </w:p>
        </w:tc>
        <w:tc>
          <w:tcPr>
            <w:tcW w:w="6660" w:type="dxa"/>
            <w:gridSpan w:val="4"/>
          </w:tcPr>
          <w:p w:rsidR="00700CA3" w:rsidRPr="00A6411D" w:rsidRDefault="00700CA3" w:rsidP="00243BA4">
            <w:pPr>
              <w:spacing w:line="276" w:lineRule="auto"/>
              <w:jc w:val="both"/>
              <w:rPr>
                <w:rFonts w:ascii="Times New Roman" w:hAnsi="Times New Roman" w:cs="Times New Roman"/>
                <w:b/>
              </w:rPr>
            </w:pPr>
          </w:p>
        </w:tc>
      </w:tr>
      <w:tr w:rsidR="00C1352C" w:rsidRPr="00A6411D" w:rsidTr="007066FC">
        <w:trPr>
          <w:trHeight w:val="315"/>
        </w:trPr>
        <w:tc>
          <w:tcPr>
            <w:tcW w:w="3060" w:type="dxa"/>
            <w:vMerge w:val="restart"/>
            <w:shd w:val="clear" w:color="auto" w:fill="F7CAAC" w:themeFill="accent2" w:themeFillTint="66"/>
          </w:tcPr>
          <w:p w:rsidR="00C1352C" w:rsidRPr="00A6411D" w:rsidRDefault="00C1352C" w:rsidP="00243BA4">
            <w:pPr>
              <w:spacing w:line="276" w:lineRule="auto"/>
              <w:rPr>
                <w:rFonts w:ascii="Times New Roman" w:hAnsi="Times New Roman" w:cs="Times New Roman"/>
                <w:b/>
              </w:rPr>
            </w:pPr>
            <w:r w:rsidRPr="00A6411D">
              <w:rPr>
                <w:rFonts w:ascii="Times New Roman" w:hAnsi="Times New Roman" w:cs="Times New Roman"/>
                <w:b/>
              </w:rPr>
              <w:t>Shkalla e përmbushjes së standardit</w:t>
            </w:r>
          </w:p>
        </w:tc>
        <w:tc>
          <w:tcPr>
            <w:tcW w:w="1620" w:type="dxa"/>
            <w:shd w:val="clear" w:color="auto" w:fill="FF00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Nuk përmbushet</w:t>
            </w:r>
          </w:p>
        </w:tc>
        <w:tc>
          <w:tcPr>
            <w:tcW w:w="1443" w:type="dxa"/>
            <w:shd w:val="clear" w:color="auto" w:fill="FF66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pjesërisht</w:t>
            </w:r>
          </w:p>
        </w:tc>
        <w:tc>
          <w:tcPr>
            <w:tcW w:w="1707" w:type="dxa"/>
            <w:shd w:val="clear" w:color="auto" w:fill="CCCC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krye</w:t>
            </w:r>
            <w:r w:rsidRPr="00A6411D">
              <w:rPr>
                <w:rFonts w:ascii="Times New Roman" w:hAnsi="Times New Roman" w:cs="Times New Roman"/>
                <w:b/>
                <w:shd w:val="clear" w:color="auto" w:fill="CCCC00"/>
              </w:rPr>
              <w:t>s</w:t>
            </w:r>
            <w:r w:rsidRPr="00A6411D">
              <w:rPr>
                <w:rFonts w:ascii="Times New Roman" w:hAnsi="Times New Roman" w:cs="Times New Roman"/>
                <w:b/>
              </w:rPr>
              <w:t>isht</w:t>
            </w:r>
          </w:p>
        </w:tc>
        <w:tc>
          <w:tcPr>
            <w:tcW w:w="1890" w:type="dxa"/>
            <w:shd w:val="clear" w:color="auto" w:fill="92D05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plotësisht</w:t>
            </w:r>
          </w:p>
        </w:tc>
      </w:tr>
      <w:tr w:rsidR="00C1352C" w:rsidRPr="00A6411D" w:rsidTr="007066FC">
        <w:trPr>
          <w:trHeight w:val="315"/>
        </w:trPr>
        <w:tc>
          <w:tcPr>
            <w:tcW w:w="3060" w:type="dxa"/>
            <w:vMerge/>
            <w:shd w:val="clear" w:color="auto" w:fill="F7CAAC" w:themeFill="accent2" w:themeFillTint="66"/>
          </w:tcPr>
          <w:p w:rsidR="00C1352C" w:rsidRPr="00A6411D" w:rsidRDefault="00C1352C" w:rsidP="00243BA4">
            <w:pPr>
              <w:spacing w:line="276" w:lineRule="auto"/>
              <w:rPr>
                <w:rFonts w:ascii="Times New Roman" w:hAnsi="Times New Roman" w:cs="Times New Roman"/>
                <w:b/>
              </w:rPr>
            </w:pPr>
          </w:p>
        </w:tc>
        <w:tc>
          <w:tcPr>
            <w:tcW w:w="1620" w:type="dxa"/>
          </w:tcPr>
          <w:p w:rsidR="00C1352C" w:rsidRPr="00A6411D" w:rsidRDefault="00C1352C" w:rsidP="00243BA4">
            <w:pPr>
              <w:spacing w:line="276" w:lineRule="auto"/>
              <w:jc w:val="both"/>
              <w:rPr>
                <w:rFonts w:ascii="Times New Roman" w:hAnsi="Times New Roman" w:cs="Times New Roman"/>
                <w:b/>
              </w:rPr>
            </w:pPr>
          </w:p>
        </w:tc>
        <w:tc>
          <w:tcPr>
            <w:tcW w:w="1443" w:type="dxa"/>
          </w:tcPr>
          <w:p w:rsidR="00C1352C" w:rsidRPr="00A6411D" w:rsidRDefault="00C1352C" w:rsidP="00243BA4">
            <w:pPr>
              <w:spacing w:line="276" w:lineRule="auto"/>
              <w:jc w:val="both"/>
              <w:rPr>
                <w:rFonts w:ascii="Times New Roman" w:hAnsi="Times New Roman" w:cs="Times New Roman"/>
                <w:b/>
              </w:rPr>
            </w:pPr>
          </w:p>
        </w:tc>
        <w:tc>
          <w:tcPr>
            <w:tcW w:w="1707" w:type="dxa"/>
          </w:tcPr>
          <w:p w:rsidR="00C1352C" w:rsidRPr="00A6411D" w:rsidRDefault="00C1352C" w:rsidP="00243BA4">
            <w:pPr>
              <w:spacing w:line="276" w:lineRule="auto"/>
              <w:jc w:val="both"/>
              <w:rPr>
                <w:rFonts w:ascii="Times New Roman" w:hAnsi="Times New Roman" w:cs="Times New Roman"/>
                <w:b/>
              </w:rPr>
            </w:pPr>
          </w:p>
        </w:tc>
        <w:tc>
          <w:tcPr>
            <w:tcW w:w="1890" w:type="dxa"/>
          </w:tcPr>
          <w:p w:rsidR="00C1352C" w:rsidRPr="00A6411D" w:rsidRDefault="00C1352C" w:rsidP="00243BA4">
            <w:pPr>
              <w:spacing w:line="276" w:lineRule="auto"/>
              <w:jc w:val="both"/>
              <w:rPr>
                <w:rFonts w:ascii="Times New Roman" w:hAnsi="Times New Roman" w:cs="Times New Roman"/>
                <w:b/>
              </w:rPr>
            </w:pPr>
          </w:p>
        </w:tc>
      </w:tr>
    </w:tbl>
    <w:p w:rsidR="00700CA3" w:rsidRPr="00A6411D" w:rsidRDefault="00700CA3"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620"/>
        <w:gridCol w:w="1440"/>
        <w:gridCol w:w="1710"/>
        <w:gridCol w:w="1890"/>
      </w:tblGrid>
      <w:tr w:rsidR="00C1352C" w:rsidRPr="00A6411D" w:rsidTr="00243BA4">
        <w:tc>
          <w:tcPr>
            <w:tcW w:w="9720" w:type="dxa"/>
            <w:gridSpan w:val="5"/>
            <w:shd w:val="clear" w:color="auto" w:fill="F7CAAC" w:themeFill="accent2" w:themeFillTint="66"/>
          </w:tcPr>
          <w:p w:rsidR="00C1352C" w:rsidRPr="00A6411D" w:rsidRDefault="00C1352C" w:rsidP="00243BA4">
            <w:pPr>
              <w:spacing w:line="276" w:lineRule="auto"/>
              <w:jc w:val="both"/>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Standardi II.6</w:t>
            </w:r>
            <w:r w:rsidRPr="00A6411D">
              <w:rPr>
                <w:rFonts w:ascii="Times New Roman" w:eastAsia="Times New Roman" w:hAnsi="Times New Roman" w:cs="Times New Roman"/>
                <w:b/>
                <w:bCs/>
                <w:lang w:val="sq-AL"/>
              </w:rPr>
              <w:tab/>
            </w:r>
          </w:p>
          <w:p w:rsidR="00C1352C" w:rsidRPr="00A6411D" w:rsidRDefault="00285681" w:rsidP="00243BA4">
            <w:pPr>
              <w:spacing w:line="276" w:lineRule="auto"/>
              <w:jc w:val="both"/>
              <w:rPr>
                <w:rFonts w:ascii="Times New Roman" w:hAnsi="Times New Roman" w:cs="Times New Roman"/>
                <w:b/>
              </w:rPr>
            </w:pPr>
            <w:r w:rsidRPr="00285681">
              <w:rPr>
                <w:rFonts w:ascii="Times New Roman" w:eastAsia="Times New Roman" w:hAnsi="Times New Roman" w:cs="Times New Roman"/>
                <w:b/>
                <w:bCs/>
                <w:color w:val="000000" w:themeColor="text1"/>
                <w:lang w:val="sq-AL"/>
              </w:rPr>
              <w:t>Në rregullore është përcaktuar qartë mënyra e pranimit të studentëve në programin e specializimit</w:t>
            </w:r>
            <w:r>
              <w:rPr>
                <w:rFonts w:ascii="Times New Roman" w:eastAsia="Times New Roman" w:hAnsi="Times New Roman" w:cs="Times New Roman"/>
                <w:b/>
                <w:bCs/>
                <w:color w:val="000000" w:themeColor="text1"/>
                <w:lang w:val="sq-AL"/>
              </w:rPr>
              <w:t>.</w:t>
            </w:r>
          </w:p>
        </w:tc>
      </w:tr>
      <w:tr w:rsidR="00C1352C" w:rsidRPr="00A6411D" w:rsidTr="0043272C">
        <w:trPr>
          <w:trHeight w:val="368"/>
        </w:trPr>
        <w:tc>
          <w:tcPr>
            <w:tcW w:w="3060" w:type="dxa"/>
            <w:shd w:val="clear" w:color="auto" w:fill="C5E0B3" w:themeFill="accent6" w:themeFillTint="66"/>
          </w:tcPr>
          <w:p w:rsidR="00C1352C" w:rsidRPr="00A6411D" w:rsidRDefault="00C1352C" w:rsidP="00243BA4">
            <w:pPr>
              <w:spacing w:line="276" w:lineRule="auto"/>
              <w:jc w:val="both"/>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Kriteret</w:t>
            </w:r>
          </w:p>
        </w:tc>
        <w:tc>
          <w:tcPr>
            <w:tcW w:w="6660" w:type="dxa"/>
            <w:gridSpan w:val="4"/>
            <w:shd w:val="clear" w:color="auto" w:fill="C5E0B3" w:themeFill="accent6" w:themeFillTint="66"/>
          </w:tcPr>
          <w:p w:rsidR="00C1352C" w:rsidRPr="00A6411D" w:rsidRDefault="00C1352C" w:rsidP="0043272C">
            <w:pPr>
              <w:spacing w:line="276" w:lineRule="auto"/>
              <w:jc w:val="center"/>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Vlerësimi i ekspertëve</w:t>
            </w:r>
          </w:p>
        </w:tc>
      </w:tr>
      <w:tr w:rsidR="00700CA3" w:rsidRPr="00A6411D" w:rsidTr="00A50EA8">
        <w:tc>
          <w:tcPr>
            <w:tcW w:w="3060" w:type="dxa"/>
          </w:tcPr>
          <w:p w:rsidR="00700CA3" w:rsidRPr="00760F22" w:rsidRDefault="00760F22" w:rsidP="0043272C">
            <w:pPr>
              <w:spacing w:line="276" w:lineRule="auto"/>
              <w:rPr>
                <w:rFonts w:ascii="Times New Roman" w:hAnsi="Times New Roman" w:cs="Times New Roman"/>
                <w:sz w:val="20"/>
                <w:szCs w:val="20"/>
              </w:rPr>
            </w:pPr>
            <w:r w:rsidRPr="00760F22">
              <w:rPr>
                <w:rFonts w:ascii="Times New Roman" w:hAnsi="Times New Roman" w:cs="Times New Roman"/>
                <w:b/>
                <w:sz w:val="20"/>
                <w:szCs w:val="20"/>
              </w:rPr>
              <w:t>Kriteri 1:</w:t>
            </w:r>
            <w:r w:rsidRPr="00760F22">
              <w:rPr>
                <w:rFonts w:ascii="Times New Roman" w:hAnsi="Times New Roman" w:cs="Times New Roman"/>
                <w:sz w:val="20"/>
                <w:szCs w:val="20"/>
              </w:rPr>
              <w:t xml:space="preserve"> Në  rregullore  janë  përcaktuar  kriteret  për  aplikim  (niveli  i  studimeve  të kryera, kohëzgjatja dhe titulli i diplomës </w:t>
            </w:r>
            <w:r w:rsidRPr="00760F22">
              <w:rPr>
                <w:rFonts w:ascii="Times New Roman" w:hAnsi="Times New Roman" w:cs="Times New Roman"/>
                <w:sz w:val="20"/>
                <w:szCs w:val="20"/>
              </w:rPr>
              <w:lastRenderedPageBreak/>
              <w:t>që kërkohet etj) si dhe kriteret</w:t>
            </w:r>
            <w:r w:rsidR="0043272C">
              <w:rPr>
                <w:rFonts w:ascii="Times New Roman" w:hAnsi="Times New Roman" w:cs="Times New Roman"/>
                <w:sz w:val="20"/>
                <w:szCs w:val="20"/>
              </w:rPr>
              <w:t xml:space="preserve"> përjashtuese nëse ka te tilla.</w:t>
            </w:r>
          </w:p>
        </w:tc>
        <w:tc>
          <w:tcPr>
            <w:tcW w:w="6660" w:type="dxa"/>
            <w:gridSpan w:val="4"/>
          </w:tcPr>
          <w:p w:rsidR="00700CA3" w:rsidRPr="00A6411D" w:rsidRDefault="00700CA3" w:rsidP="00243BA4">
            <w:pPr>
              <w:spacing w:line="276" w:lineRule="auto"/>
              <w:jc w:val="both"/>
              <w:rPr>
                <w:rFonts w:ascii="Times New Roman" w:hAnsi="Times New Roman" w:cs="Times New Roman"/>
                <w:b/>
              </w:rPr>
            </w:pPr>
          </w:p>
        </w:tc>
      </w:tr>
      <w:tr w:rsidR="00700CA3" w:rsidRPr="00A6411D" w:rsidTr="00A50EA8">
        <w:tc>
          <w:tcPr>
            <w:tcW w:w="3060" w:type="dxa"/>
          </w:tcPr>
          <w:p w:rsidR="00700CA3" w:rsidRPr="00760F22" w:rsidRDefault="00760F22" w:rsidP="0043272C">
            <w:pPr>
              <w:spacing w:line="276" w:lineRule="auto"/>
              <w:rPr>
                <w:rFonts w:ascii="Times New Roman" w:hAnsi="Times New Roman" w:cs="Times New Roman"/>
                <w:sz w:val="20"/>
                <w:szCs w:val="20"/>
              </w:rPr>
            </w:pPr>
            <w:r w:rsidRPr="00760F22">
              <w:rPr>
                <w:rFonts w:ascii="Times New Roman" w:hAnsi="Times New Roman" w:cs="Times New Roman"/>
                <w:b/>
                <w:sz w:val="20"/>
                <w:szCs w:val="20"/>
              </w:rPr>
              <w:t>Kriteri 2:</w:t>
            </w:r>
            <w:r w:rsidRPr="00760F22">
              <w:rPr>
                <w:rFonts w:ascii="Times New Roman" w:hAnsi="Times New Roman" w:cs="Times New Roman"/>
                <w:sz w:val="20"/>
                <w:szCs w:val="20"/>
              </w:rPr>
              <w:t xml:space="preserve"> Në rregullore përcaktohet qartë dokumentacioni që duhet të dorëzojë kandidati për aplikim, mënyra e dorëzimit të dokumentacioni</w:t>
            </w:r>
            <w:r w:rsidR="0043272C">
              <w:rPr>
                <w:rFonts w:ascii="Times New Roman" w:hAnsi="Times New Roman" w:cs="Times New Roman"/>
                <w:sz w:val="20"/>
                <w:szCs w:val="20"/>
              </w:rPr>
              <w:t>t dhe afati përfundimtar.</w:t>
            </w:r>
          </w:p>
        </w:tc>
        <w:tc>
          <w:tcPr>
            <w:tcW w:w="6660" w:type="dxa"/>
            <w:gridSpan w:val="4"/>
          </w:tcPr>
          <w:p w:rsidR="00700CA3" w:rsidRPr="00A6411D" w:rsidRDefault="00700CA3" w:rsidP="00243BA4">
            <w:pPr>
              <w:spacing w:line="276" w:lineRule="auto"/>
              <w:jc w:val="both"/>
              <w:rPr>
                <w:rFonts w:ascii="Times New Roman" w:hAnsi="Times New Roman" w:cs="Times New Roman"/>
                <w:b/>
              </w:rPr>
            </w:pPr>
          </w:p>
        </w:tc>
      </w:tr>
      <w:tr w:rsidR="00700CA3" w:rsidRPr="00A6411D" w:rsidTr="00A50EA8">
        <w:tc>
          <w:tcPr>
            <w:tcW w:w="3060" w:type="dxa"/>
          </w:tcPr>
          <w:p w:rsidR="00700CA3" w:rsidRPr="00760F22" w:rsidRDefault="00760F22" w:rsidP="0043272C">
            <w:pPr>
              <w:spacing w:line="276" w:lineRule="auto"/>
              <w:rPr>
                <w:rFonts w:ascii="Times New Roman" w:hAnsi="Times New Roman" w:cs="Times New Roman"/>
                <w:sz w:val="20"/>
                <w:szCs w:val="20"/>
              </w:rPr>
            </w:pPr>
            <w:r w:rsidRPr="00760F22">
              <w:rPr>
                <w:rFonts w:ascii="Times New Roman" w:hAnsi="Times New Roman" w:cs="Times New Roman"/>
                <w:b/>
                <w:sz w:val="20"/>
                <w:szCs w:val="20"/>
              </w:rPr>
              <w:t>Kriteri 3:</w:t>
            </w:r>
            <w:r w:rsidRPr="00760F22">
              <w:rPr>
                <w:rFonts w:ascii="Times New Roman" w:hAnsi="Times New Roman" w:cs="Times New Roman"/>
                <w:sz w:val="20"/>
                <w:szCs w:val="20"/>
              </w:rPr>
              <w:t xml:space="preserve"> Në rregullore janë përcaktuar qartë pikët maksimale që mund të grumbullojë kandidati dhe pikët që i jepen kandidatit për çdo kriter të plotësuar si dhe pikët maksimale dhe minimale që mund ti jepen kandidatit gjatë çdo testimi.</w:t>
            </w:r>
          </w:p>
        </w:tc>
        <w:tc>
          <w:tcPr>
            <w:tcW w:w="6660" w:type="dxa"/>
            <w:gridSpan w:val="4"/>
          </w:tcPr>
          <w:p w:rsidR="00700CA3" w:rsidRPr="00A6411D" w:rsidRDefault="00700CA3" w:rsidP="00243BA4">
            <w:pPr>
              <w:spacing w:line="276" w:lineRule="auto"/>
              <w:jc w:val="both"/>
              <w:rPr>
                <w:rFonts w:ascii="Times New Roman" w:hAnsi="Times New Roman" w:cs="Times New Roman"/>
                <w:b/>
              </w:rPr>
            </w:pPr>
          </w:p>
        </w:tc>
      </w:tr>
      <w:tr w:rsidR="00700CA3" w:rsidRPr="00A6411D" w:rsidTr="00A50EA8">
        <w:tc>
          <w:tcPr>
            <w:tcW w:w="3060" w:type="dxa"/>
          </w:tcPr>
          <w:p w:rsidR="00700CA3" w:rsidRPr="00760F22" w:rsidRDefault="00760F22" w:rsidP="0043272C">
            <w:pPr>
              <w:spacing w:line="276" w:lineRule="auto"/>
              <w:rPr>
                <w:rFonts w:ascii="Times New Roman" w:hAnsi="Times New Roman" w:cs="Times New Roman"/>
                <w:sz w:val="20"/>
                <w:szCs w:val="20"/>
              </w:rPr>
            </w:pPr>
            <w:r w:rsidRPr="00760F22">
              <w:rPr>
                <w:rFonts w:ascii="Times New Roman" w:hAnsi="Times New Roman" w:cs="Times New Roman"/>
                <w:b/>
                <w:sz w:val="20"/>
                <w:szCs w:val="20"/>
              </w:rPr>
              <w:t>Kriteri 4:</w:t>
            </w:r>
            <w:r w:rsidRPr="00760F22">
              <w:rPr>
                <w:rFonts w:ascii="Times New Roman" w:hAnsi="Times New Roman" w:cs="Times New Roman"/>
                <w:sz w:val="20"/>
                <w:szCs w:val="20"/>
              </w:rPr>
              <w:t xml:space="preserve"> Në rregullore përcaktohet qartë mënyra e aplikimit, e konkurrimit e kandidati për specializim; përcaktohet sa kohë para datës së shpallur për testimet</w:t>
            </w:r>
            <w:r w:rsidR="0043272C">
              <w:rPr>
                <w:rFonts w:ascii="Times New Roman" w:hAnsi="Times New Roman" w:cs="Times New Roman"/>
                <w:sz w:val="20"/>
                <w:szCs w:val="20"/>
              </w:rPr>
              <w:t xml:space="preserve"> mbyllet pranimi i dokumenteve.</w:t>
            </w:r>
          </w:p>
        </w:tc>
        <w:tc>
          <w:tcPr>
            <w:tcW w:w="6660" w:type="dxa"/>
            <w:gridSpan w:val="4"/>
          </w:tcPr>
          <w:p w:rsidR="00700CA3" w:rsidRPr="00A6411D" w:rsidRDefault="00700CA3" w:rsidP="00243BA4">
            <w:pPr>
              <w:spacing w:line="276" w:lineRule="auto"/>
              <w:jc w:val="both"/>
              <w:rPr>
                <w:rFonts w:ascii="Times New Roman" w:hAnsi="Times New Roman" w:cs="Times New Roman"/>
                <w:b/>
              </w:rPr>
            </w:pPr>
          </w:p>
        </w:tc>
      </w:tr>
      <w:tr w:rsidR="00760F22" w:rsidRPr="00A6411D" w:rsidTr="00A50EA8">
        <w:tc>
          <w:tcPr>
            <w:tcW w:w="3060" w:type="dxa"/>
          </w:tcPr>
          <w:p w:rsidR="00760F22" w:rsidRPr="00760F22" w:rsidRDefault="00760F22" w:rsidP="00760F22">
            <w:pPr>
              <w:spacing w:line="276" w:lineRule="auto"/>
              <w:rPr>
                <w:rFonts w:ascii="Times New Roman" w:hAnsi="Times New Roman" w:cs="Times New Roman"/>
                <w:sz w:val="20"/>
                <w:szCs w:val="20"/>
              </w:rPr>
            </w:pPr>
            <w:r w:rsidRPr="00F07D05">
              <w:rPr>
                <w:rFonts w:ascii="Times New Roman" w:hAnsi="Times New Roman" w:cs="Times New Roman"/>
                <w:b/>
                <w:sz w:val="20"/>
                <w:szCs w:val="20"/>
              </w:rPr>
              <w:t>Kriteri 5:</w:t>
            </w:r>
            <w:r w:rsidRPr="00760F22">
              <w:rPr>
                <w:rFonts w:ascii="Times New Roman" w:hAnsi="Times New Roman" w:cs="Times New Roman"/>
                <w:sz w:val="20"/>
                <w:szCs w:val="20"/>
              </w:rPr>
              <w:t xml:space="preserve"> Në rregullore është përcaktuar qartë mënyra e zhvillimit të t</w:t>
            </w:r>
            <w:r w:rsidR="0043272C">
              <w:rPr>
                <w:rFonts w:ascii="Times New Roman" w:hAnsi="Times New Roman" w:cs="Times New Roman"/>
                <w:sz w:val="20"/>
                <w:szCs w:val="20"/>
              </w:rPr>
              <w:t xml:space="preserve">estimeve dhe procedura e tyre. </w:t>
            </w:r>
          </w:p>
        </w:tc>
        <w:tc>
          <w:tcPr>
            <w:tcW w:w="6660" w:type="dxa"/>
            <w:gridSpan w:val="4"/>
          </w:tcPr>
          <w:p w:rsidR="00760F22" w:rsidRPr="00A6411D" w:rsidRDefault="00760F22" w:rsidP="00243BA4">
            <w:pPr>
              <w:spacing w:line="276" w:lineRule="auto"/>
              <w:jc w:val="both"/>
              <w:rPr>
                <w:rFonts w:ascii="Times New Roman" w:hAnsi="Times New Roman" w:cs="Times New Roman"/>
                <w:b/>
              </w:rPr>
            </w:pPr>
          </w:p>
        </w:tc>
      </w:tr>
      <w:tr w:rsidR="00760F22" w:rsidRPr="00A6411D" w:rsidTr="00A50EA8">
        <w:tc>
          <w:tcPr>
            <w:tcW w:w="3060" w:type="dxa"/>
          </w:tcPr>
          <w:p w:rsidR="00760F22" w:rsidRPr="00760F22" w:rsidRDefault="00760F22" w:rsidP="00760F22">
            <w:pPr>
              <w:spacing w:line="276" w:lineRule="auto"/>
              <w:rPr>
                <w:rFonts w:ascii="Times New Roman" w:hAnsi="Times New Roman" w:cs="Times New Roman"/>
                <w:sz w:val="20"/>
                <w:szCs w:val="20"/>
              </w:rPr>
            </w:pPr>
            <w:r w:rsidRPr="00F07D05">
              <w:rPr>
                <w:rFonts w:ascii="Times New Roman" w:hAnsi="Times New Roman" w:cs="Times New Roman"/>
                <w:b/>
                <w:sz w:val="20"/>
                <w:szCs w:val="20"/>
              </w:rPr>
              <w:t>Kriteri 6:</w:t>
            </w:r>
            <w:r w:rsidRPr="00760F22">
              <w:rPr>
                <w:rFonts w:ascii="Times New Roman" w:hAnsi="Times New Roman" w:cs="Times New Roman"/>
                <w:sz w:val="20"/>
                <w:szCs w:val="20"/>
              </w:rPr>
              <w:t xml:space="preserve"> Në rregullore përcaktohet qartë mënyra e vlerësimit të kandidatëve për çdo testim dhe dokumentacioni i përdorur i cili ruhet sipas procedurave</w:t>
            </w:r>
            <w:r w:rsidR="0043272C">
              <w:rPr>
                <w:rFonts w:ascii="Times New Roman" w:hAnsi="Times New Roman" w:cs="Times New Roman"/>
                <w:sz w:val="20"/>
                <w:szCs w:val="20"/>
              </w:rPr>
              <w:t xml:space="preserve"> të parashikuara në rregullore.</w:t>
            </w:r>
          </w:p>
        </w:tc>
        <w:tc>
          <w:tcPr>
            <w:tcW w:w="6660" w:type="dxa"/>
            <w:gridSpan w:val="4"/>
          </w:tcPr>
          <w:p w:rsidR="00760F22" w:rsidRPr="00A6411D" w:rsidRDefault="00760F22" w:rsidP="00243BA4">
            <w:pPr>
              <w:spacing w:line="276" w:lineRule="auto"/>
              <w:jc w:val="both"/>
              <w:rPr>
                <w:rFonts w:ascii="Times New Roman" w:hAnsi="Times New Roman" w:cs="Times New Roman"/>
                <w:b/>
              </w:rPr>
            </w:pPr>
          </w:p>
        </w:tc>
      </w:tr>
      <w:tr w:rsidR="00760F22" w:rsidRPr="00A6411D" w:rsidTr="00A50EA8">
        <w:tc>
          <w:tcPr>
            <w:tcW w:w="3060" w:type="dxa"/>
          </w:tcPr>
          <w:p w:rsidR="00760F22" w:rsidRPr="00760F22" w:rsidRDefault="00760F22" w:rsidP="00760F22">
            <w:pPr>
              <w:spacing w:line="276" w:lineRule="auto"/>
              <w:rPr>
                <w:rFonts w:ascii="Times New Roman" w:hAnsi="Times New Roman" w:cs="Times New Roman"/>
                <w:sz w:val="20"/>
                <w:szCs w:val="20"/>
              </w:rPr>
            </w:pPr>
            <w:r w:rsidRPr="00F07D05">
              <w:rPr>
                <w:rFonts w:ascii="Times New Roman" w:hAnsi="Times New Roman" w:cs="Times New Roman"/>
                <w:b/>
                <w:sz w:val="20"/>
                <w:szCs w:val="20"/>
              </w:rPr>
              <w:t>Kriteri 7:</w:t>
            </w:r>
            <w:r w:rsidRPr="00760F22">
              <w:rPr>
                <w:rFonts w:ascii="Times New Roman" w:hAnsi="Times New Roman" w:cs="Times New Roman"/>
                <w:sz w:val="20"/>
                <w:szCs w:val="20"/>
              </w:rPr>
              <w:t xml:space="preserve"> Emërtimet e programeve të specializimeve të miratuara për vitin akademik, numri i specializantëve që do të pranohen për çdo program specializimi dhe tarifat që duhet të paguajë specializanti për çdo specializim publikohen të paktën 2 javë përpara datë</w:t>
            </w:r>
            <w:r w:rsidR="0043272C">
              <w:rPr>
                <w:rFonts w:ascii="Times New Roman" w:hAnsi="Times New Roman" w:cs="Times New Roman"/>
                <w:sz w:val="20"/>
                <w:szCs w:val="20"/>
              </w:rPr>
              <w:t>s së fillimit të aplikimeve.</w:t>
            </w:r>
          </w:p>
        </w:tc>
        <w:tc>
          <w:tcPr>
            <w:tcW w:w="6660" w:type="dxa"/>
            <w:gridSpan w:val="4"/>
          </w:tcPr>
          <w:p w:rsidR="00760F22" w:rsidRPr="00A6411D" w:rsidRDefault="00760F22" w:rsidP="00243BA4">
            <w:pPr>
              <w:spacing w:line="276" w:lineRule="auto"/>
              <w:jc w:val="both"/>
              <w:rPr>
                <w:rFonts w:ascii="Times New Roman" w:hAnsi="Times New Roman" w:cs="Times New Roman"/>
                <w:b/>
              </w:rPr>
            </w:pPr>
          </w:p>
        </w:tc>
      </w:tr>
      <w:tr w:rsidR="00760F22" w:rsidRPr="00A6411D" w:rsidTr="00A50EA8">
        <w:tc>
          <w:tcPr>
            <w:tcW w:w="3060" w:type="dxa"/>
          </w:tcPr>
          <w:p w:rsidR="00760F22" w:rsidRPr="00760F22" w:rsidRDefault="00760F22" w:rsidP="00760F22">
            <w:pPr>
              <w:spacing w:line="276" w:lineRule="auto"/>
              <w:rPr>
                <w:rFonts w:ascii="Times New Roman" w:hAnsi="Times New Roman" w:cs="Times New Roman"/>
                <w:sz w:val="20"/>
                <w:szCs w:val="20"/>
              </w:rPr>
            </w:pPr>
            <w:r w:rsidRPr="00F07D05">
              <w:rPr>
                <w:rFonts w:ascii="Times New Roman" w:hAnsi="Times New Roman" w:cs="Times New Roman"/>
                <w:b/>
                <w:sz w:val="20"/>
                <w:szCs w:val="20"/>
              </w:rPr>
              <w:t>Kriteri 8:</w:t>
            </w:r>
            <w:r w:rsidRPr="00760F22">
              <w:rPr>
                <w:rFonts w:ascii="Times New Roman" w:hAnsi="Times New Roman" w:cs="Times New Roman"/>
                <w:sz w:val="20"/>
                <w:szCs w:val="20"/>
              </w:rPr>
              <w:t xml:space="preserve"> </w:t>
            </w:r>
            <w:r w:rsidR="00F07D05" w:rsidRPr="00760F22">
              <w:rPr>
                <w:rFonts w:ascii="Times New Roman" w:hAnsi="Times New Roman" w:cs="Times New Roman"/>
                <w:sz w:val="20"/>
                <w:szCs w:val="20"/>
              </w:rPr>
              <w:t>Mënyra e vlerësimit mbi të cilat kryhet testimi duhet të</w:t>
            </w:r>
            <w:r w:rsidRPr="00760F22">
              <w:rPr>
                <w:rFonts w:ascii="Times New Roman" w:hAnsi="Times New Roman" w:cs="Times New Roman"/>
                <w:sz w:val="20"/>
                <w:szCs w:val="20"/>
              </w:rPr>
              <w:t xml:space="preserve"> përcaktohen në rregullore dhe të publikohen të paktën 2 javë përpara d</w:t>
            </w:r>
            <w:r w:rsidR="0043272C">
              <w:rPr>
                <w:rFonts w:ascii="Times New Roman" w:hAnsi="Times New Roman" w:cs="Times New Roman"/>
                <w:sz w:val="20"/>
                <w:szCs w:val="20"/>
              </w:rPr>
              <w:t>atës së fillimit të aplikimeve.</w:t>
            </w:r>
          </w:p>
        </w:tc>
        <w:tc>
          <w:tcPr>
            <w:tcW w:w="6660" w:type="dxa"/>
            <w:gridSpan w:val="4"/>
          </w:tcPr>
          <w:p w:rsidR="00760F22" w:rsidRPr="00A6411D" w:rsidRDefault="00760F22" w:rsidP="00243BA4">
            <w:pPr>
              <w:spacing w:line="276" w:lineRule="auto"/>
              <w:jc w:val="both"/>
              <w:rPr>
                <w:rFonts w:ascii="Times New Roman" w:hAnsi="Times New Roman" w:cs="Times New Roman"/>
                <w:b/>
              </w:rPr>
            </w:pPr>
          </w:p>
        </w:tc>
      </w:tr>
      <w:tr w:rsidR="00760F22" w:rsidRPr="00A6411D" w:rsidTr="00A50EA8">
        <w:tc>
          <w:tcPr>
            <w:tcW w:w="3060" w:type="dxa"/>
          </w:tcPr>
          <w:p w:rsidR="00760F22" w:rsidRPr="00760F22" w:rsidRDefault="00760F22" w:rsidP="00760F22">
            <w:pPr>
              <w:spacing w:line="276" w:lineRule="auto"/>
              <w:rPr>
                <w:rFonts w:ascii="Times New Roman" w:hAnsi="Times New Roman" w:cs="Times New Roman"/>
                <w:sz w:val="20"/>
                <w:szCs w:val="20"/>
              </w:rPr>
            </w:pPr>
            <w:r w:rsidRPr="00F07D05">
              <w:rPr>
                <w:rFonts w:ascii="Times New Roman" w:hAnsi="Times New Roman" w:cs="Times New Roman"/>
                <w:b/>
                <w:sz w:val="20"/>
                <w:szCs w:val="20"/>
              </w:rPr>
              <w:lastRenderedPageBreak/>
              <w:t>Kriteri 9:</w:t>
            </w:r>
            <w:r w:rsidRPr="00760F22">
              <w:rPr>
                <w:rFonts w:ascii="Times New Roman" w:hAnsi="Times New Roman" w:cs="Times New Roman"/>
                <w:sz w:val="20"/>
                <w:szCs w:val="20"/>
              </w:rPr>
              <w:t xml:space="preserve"> Në  rregullore  është  përcaktuar  qartë  mënyra  dhe  afatet  e  shpalljes  së rezultateve të testeve dhe të listës përfundimtare me fituesit si dhe është përcaktuar vendi dhe d</w:t>
            </w:r>
            <w:r w:rsidR="0043272C">
              <w:rPr>
                <w:rFonts w:ascii="Times New Roman" w:hAnsi="Times New Roman" w:cs="Times New Roman"/>
                <w:sz w:val="20"/>
                <w:szCs w:val="20"/>
              </w:rPr>
              <w:t>ata e shpalljes së rezultateve.</w:t>
            </w:r>
          </w:p>
        </w:tc>
        <w:tc>
          <w:tcPr>
            <w:tcW w:w="6660" w:type="dxa"/>
            <w:gridSpan w:val="4"/>
          </w:tcPr>
          <w:p w:rsidR="00760F22" w:rsidRPr="00A6411D" w:rsidRDefault="00760F22" w:rsidP="00243BA4">
            <w:pPr>
              <w:spacing w:line="276" w:lineRule="auto"/>
              <w:jc w:val="both"/>
              <w:rPr>
                <w:rFonts w:ascii="Times New Roman" w:hAnsi="Times New Roman" w:cs="Times New Roman"/>
                <w:b/>
              </w:rPr>
            </w:pPr>
          </w:p>
        </w:tc>
      </w:tr>
      <w:tr w:rsidR="00760F22" w:rsidRPr="00A6411D" w:rsidTr="00A50EA8">
        <w:tc>
          <w:tcPr>
            <w:tcW w:w="3060" w:type="dxa"/>
          </w:tcPr>
          <w:p w:rsidR="00760F22" w:rsidRPr="00760F22" w:rsidRDefault="00760F22" w:rsidP="00760F22">
            <w:pPr>
              <w:spacing w:line="276" w:lineRule="auto"/>
              <w:rPr>
                <w:rFonts w:ascii="Times New Roman" w:hAnsi="Times New Roman" w:cs="Times New Roman"/>
                <w:sz w:val="20"/>
                <w:szCs w:val="20"/>
              </w:rPr>
            </w:pPr>
            <w:r w:rsidRPr="00F07D05">
              <w:rPr>
                <w:rFonts w:ascii="Times New Roman" w:hAnsi="Times New Roman" w:cs="Times New Roman"/>
                <w:b/>
                <w:sz w:val="20"/>
                <w:szCs w:val="20"/>
              </w:rPr>
              <w:t>Kriteri 10:</w:t>
            </w:r>
            <w:r w:rsidRPr="00760F22">
              <w:rPr>
                <w:rFonts w:ascii="Times New Roman" w:hAnsi="Times New Roman" w:cs="Times New Roman"/>
                <w:sz w:val="20"/>
                <w:szCs w:val="20"/>
              </w:rPr>
              <w:t xml:space="preserve"> Në   rregullore   përcaktohet   qartë   mënyra   e   lidhjes   së   kontra</w:t>
            </w:r>
            <w:r w:rsidR="0043272C">
              <w:rPr>
                <w:rFonts w:ascii="Times New Roman" w:hAnsi="Times New Roman" w:cs="Times New Roman"/>
                <w:sz w:val="20"/>
                <w:szCs w:val="20"/>
              </w:rPr>
              <w:t>tës   me specializantët fitues.</w:t>
            </w:r>
          </w:p>
        </w:tc>
        <w:tc>
          <w:tcPr>
            <w:tcW w:w="6660" w:type="dxa"/>
            <w:gridSpan w:val="4"/>
          </w:tcPr>
          <w:p w:rsidR="00760F22" w:rsidRPr="00A6411D" w:rsidRDefault="00760F22" w:rsidP="00243BA4">
            <w:pPr>
              <w:spacing w:line="276" w:lineRule="auto"/>
              <w:jc w:val="both"/>
              <w:rPr>
                <w:rFonts w:ascii="Times New Roman" w:hAnsi="Times New Roman" w:cs="Times New Roman"/>
                <w:b/>
              </w:rPr>
            </w:pPr>
          </w:p>
        </w:tc>
      </w:tr>
      <w:tr w:rsidR="00C1352C" w:rsidRPr="00A6411D" w:rsidTr="007066FC">
        <w:trPr>
          <w:trHeight w:val="315"/>
        </w:trPr>
        <w:tc>
          <w:tcPr>
            <w:tcW w:w="3060" w:type="dxa"/>
            <w:vMerge w:val="restart"/>
            <w:shd w:val="clear" w:color="auto" w:fill="F7CAAC" w:themeFill="accent2" w:themeFillTint="66"/>
          </w:tcPr>
          <w:p w:rsidR="00C1352C" w:rsidRPr="00A6411D" w:rsidRDefault="00C1352C" w:rsidP="00243BA4">
            <w:pPr>
              <w:spacing w:line="276" w:lineRule="auto"/>
              <w:rPr>
                <w:rFonts w:ascii="Times New Roman" w:hAnsi="Times New Roman" w:cs="Times New Roman"/>
                <w:b/>
              </w:rPr>
            </w:pPr>
            <w:r w:rsidRPr="00A6411D">
              <w:rPr>
                <w:rFonts w:ascii="Times New Roman" w:hAnsi="Times New Roman" w:cs="Times New Roman"/>
                <w:b/>
              </w:rPr>
              <w:t>Shkalla e përmbushjes së standardit</w:t>
            </w:r>
          </w:p>
        </w:tc>
        <w:tc>
          <w:tcPr>
            <w:tcW w:w="1620" w:type="dxa"/>
            <w:shd w:val="clear" w:color="auto" w:fill="FF00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Nuk përmbushet</w:t>
            </w:r>
          </w:p>
        </w:tc>
        <w:tc>
          <w:tcPr>
            <w:tcW w:w="1440" w:type="dxa"/>
            <w:shd w:val="clear" w:color="auto" w:fill="FF66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pjesërisht</w:t>
            </w:r>
          </w:p>
        </w:tc>
        <w:tc>
          <w:tcPr>
            <w:tcW w:w="1710" w:type="dxa"/>
            <w:shd w:val="clear" w:color="auto" w:fill="CCCC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krye</w:t>
            </w:r>
            <w:r w:rsidRPr="00A6411D">
              <w:rPr>
                <w:rFonts w:ascii="Times New Roman" w:hAnsi="Times New Roman" w:cs="Times New Roman"/>
                <w:b/>
                <w:shd w:val="clear" w:color="auto" w:fill="CCCC00"/>
              </w:rPr>
              <w:t>s</w:t>
            </w:r>
            <w:r w:rsidRPr="00A6411D">
              <w:rPr>
                <w:rFonts w:ascii="Times New Roman" w:hAnsi="Times New Roman" w:cs="Times New Roman"/>
                <w:b/>
              </w:rPr>
              <w:t>isht</w:t>
            </w:r>
          </w:p>
        </w:tc>
        <w:tc>
          <w:tcPr>
            <w:tcW w:w="1890" w:type="dxa"/>
            <w:shd w:val="clear" w:color="auto" w:fill="92D05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plotësisht</w:t>
            </w:r>
          </w:p>
        </w:tc>
      </w:tr>
      <w:tr w:rsidR="00C1352C" w:rsidRPr="00A6411D" w:rsidTr="007066FC">
        <w:trPr>
          <w:trHeight w:val="315"/>
        </w:trPr>
        <w:tc>
          <w:tcPr>
            <w:tcW w:w="3060" w:type="dxa"/>
            <w:vMerge/>
            <w:shd w:val="clear" w:color="auto" w:fill="F7CAAC" w:themeFill="accent2" w:themeFillTint="66"/>
          </w:tcPr>
          <w:p w:rsidR="00C1352C" w:rsidRPr="00A6411D" w:rsidRDefault="00C1352C" w:rsidP="00243BA4">
            <w:pPr>
              <w:spacing w:line="276" w:lineRule="auto"/>
              <w:rPr>
                <w:rFonts w:ascii="Times New Roman" w:hAnsi="Times New Roman" w:cs="Times New Roman"/>
                <w:b/>
              </w:rPr>
            </w:pPr>
          </w:p>
        </w:tc>
        <w:tc>
          <w:tcPr>
            <w:tcW w:w="1620" w:type="dxa"/>
          </w:tcPr>
          <w:p w:rsidR="00C1352C" w:rsidRPr="00A6411D" w:rsidRDefault="00C1352C" w:rsidP="00243BA4">
            <w:pPr>
              <w:spacing w:line="276" w:lineRule="auto"/>
              <w:jc w:val="both"/>
              <w:rPr>
                <w:rFonts w:ascii="Times New Roman" w:hAnsi="Times New Roman" w:cs="Times New Roman"/>
                <w:b/>
              </w:rPr>
            </w:pPr>
          </w:p>
        </w:tc>
        <w:tc>
          <w:tcPr>
            <w:tcW w:w="1440" w:type="dxa"/>
          </w:tcPr>
          <w:p w:rsidR="00C1352C" w:rsidRPr="00A6411D" w:rsidRDefault="00C1352C" w:rsidP="00243BA4">
            <w:pPr>
              <w:spacing w:line="276" w:lineRule="auto"/>
              <w:jc w:val="both"/>
              <w:rPr>
                <w:rFonts w:ascii="Times New Roman" w:hAnsi="Times New Roman" w:cs="Times New Roman"/>
                <w:b/>
              </w:rPr>
            </w:pPr>
          </w:p>
        </w:tc>
        <w:tc>
          <w:tcPr>
            <w:tcW w:w="1710" w:type="dxa"/>
          </w:tcPr>
          <w:p w:rsidR="00C1352C" w:rsidRPr="00A6411D" w:rsidRDefault="00C1352C" w:rsidP="00243BA4">
            <w:pPr>
              <w:spacing w:line="276" w:lineRule="auto"/>
              <w:jc w:val="both"/>
              <w:rPr>
                <w:rFonts w:ascii="Times New Roman" w:hAnsi="Times New Roman" w:cs="Times New Roman"/>
                <w:b/>
              </w:rPr>
            </w:pPr>
          </w:p>
        </w:tc>
        <w:tc>
          <w:tcPr>
            <w:tcW w:w="1890" w:type="dxa"/>
          </w:tcPr>
          <w:p w:rsidR="00C1352C" w:rsidRPr="00A6411D" w:rsidRDefault="00C1352C" w:rsidP="00243BA4">
            <w:pPr>
              <w:spacing w:line="276" w:lineRule="auto"/>
              <w:jc w:val="both"/>
              <w:rPr>
                <w:rFonts w:ascii="Times New Roman" w:hAnsi="Times New Roman" w:cs="Times New Roman"/>
                <w:b/>
              </w:rPr>
            </w:pPr>
          </w:p>
        </w:tc>
      </w:tr>
    </w:tbl>
    <w:p w:rsidR="006134A2" w:rsidRPr="00A6411D" w:rsidRDefault="006134A2"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620"/>
        <w:gridCol w:w="1443"/>
        <w:gridCol w:w="1707"/>
        <w:gridCol w:w="1890"/>
      </w:tblGrid>
      <w:tr w:rsidR="00717ED9" w:rsidRPr="00A6411D" w:rsidTr="00243BA4">
        <w:tc>
          <w:tcPr>
            <w:tcW w:w="9720" w:type="dxa"/>
            <w:gridSpan w:val="5"/>
            <w:shd w:val="clear" w:color="auto" w:fill="F7CAAC" w:themeFill="accent2" w:themeFillTint="66"/>
          </w:tcPr>
          <w:p w:rsidR="00717ED9" w:rsidRPr="00A6411D" w:rsidRDefault="00717ED9" w:rsidP="00243BA4">
            <w:pPr>
              <w:spacing w:line="276" w:lineRule="auto"/>
              <w:jc w:val="both"/>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Standardi II.7</w:t>
            </w:r>
            <w:r w:rsidRPr="00A6411D">
              <w:rPr>
                <w:rFonts w:ascii="Times New Roman" w:eastAsia="Times New Roman" w:hAnsi="Times New Roman" w:cs="Times New Roman"/>
                <w:b/>
                <w:bCs/>
                <w:lang w:val="sq-AL"/>
              </w:rPr>
              <w:tab/>
            </w:r>
          </w:p>
          <w:p w:rsidR="00717ED9" w:rsidRPr="00A6411D" w:rsidRDefault="00750732" w:rsidP="00243BA4">
            <w:pPr>
              <w:spacing w:line="276" w:lineRule="auto"/>
              <w:jc w:val="both"/>
              <w:rPr>
                <w:rFonts w:ascii="Times New Roman" w:hAnsi="Times New Roman" w:cs="Times New Roman"/>
                <w:b/>
              </w:rPr>
            </w:pPr>
            <w:r>
              <w:rPr>
                <w:rFonts w:ascii="Times New Roman" w:eastAsia="Times New Roman" w:hAnsi="Times New Roman" w:cs="Times New Roman"/>
                <w:b/>
                <w:bCs/>
                <w:lang w:val="sq-AL"/>
              </w:rPr>
              <w:t xml:space="preserve">Në  rregullore </w:t>
            </w:r>
            <w:r w:rsidR="00F07D05" w:rsidRPr="00F07D05">
              <w:rPr>
                <w:rFonts w:ascii="Times New Roman" w:eastAsia="Times New Roman" w:hAnsi="Times New Roman" w:cs="Times New Roman"/>
                <w:b/>
                <w:bCs/>
                <w:lang w:val="sq-AL"/>
              </w:rPr>
              <w:t xml:space="preserve"> parashikohen element të procesit mës</w:t>
            </w:r>
            <w:r w:rsidR="00F07D05">
              <w:rPr>
                <w:rFonts w:ascii="Times New Roman" w:eastAsia="Times New Roman" w:hAnsi="Times New Roman" w:cs="Times New Roman"/>
                <w:b/>
                <w:bCs/>
                <w:lang w:val="sq-AL"/>
              </w:rPr>
              <w:t>imor të programit specializues .</w:t>
            </w:r>
          </w:p>
        </w:tc>
      </w:tr>
      <w:tr w:rsidR="00717ED9" w:rsidRPr="00A6411D" w:rsidTr="0043272C">
        <w:trPr>
          <w:trHeight w:val="395"/>
        </w:trPr>
        <w:tc>
          <w:tcPr>
            <w:tcW w:w="3060" w:type="dxa"/>
            <w:shd w:val="clear" w:color="auto" w:fill="C5E0B3" w:themeFill="accent6" w:themeFillTint="66"/>
          </w:tcPr>
          <w:p w:rsidR="00717ED9" w:rsidRPr="00A6411D" w:rsidRDefault="00717ED9" w:rsidP="00243BA4">
            <w:pPr>
              <w:spacing w:line="276" w:lineRule="auto"/>
              <w:jc w:val="both"/>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Kriteret</w:t>
            </w:r>
          </w:p>
        </w:tc>
        <w:tc>
          <w:tcPr>
            <w:tcW w:w="6660" w:type="dxa"/>
            <w:gridSpan w:val="4"/>
            <w:shd w:val="clear" w:color="auto" w:fill="C5E0B3" w:themeFill="accent6" w:themeFillTint="66"/>
          </w:tcPr>
          <w:p w:rsidR="00717ED9" w:rsidRPr="00A6411D" w:rsidRDefault="00717ED9" w:rsidP="0043272C">
            <w:pPr>
              <w:spacing w:line="276" w:lineRule="auto"/>
              <w:jc w:val="center"/>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Vlerësimi i ekspertëve</w:t>
            </w:r>
          </w:p>
        </w:tc>
      </w:tr>
      <w:tr w:rsidR="00BA509A" w:rsidRPr="00A6411D" w:rsidTr="00A50EA8">
        <w:tc>
          <w:tcPr>
            <w:tcW w:w="3060" w:type="dxa"/>
          </w:tcPr>
          <w:p w:rsidR="00BA509A" w:rsidRPr="00F07D05" w:rsidRDefault="00F07D05" w:rsidP="0043272C">
            <w:pPr>
              <w:spacing w:line="276" w:lineRule="auto"/>
              <w:rPr>
                <w:rFonts w:ascii="Times New Roman" w:hAnsi="Times New Roman" w:cs="Times New Roman"/>
                <w:sz w:val="20"/>
                <w:szCs w:val="20"/>
              </w:rPr>
            </w:pPr>
            <w:r w:rsidRPr="00F07D05">
              <w:rPr>
                <w:rFonts w:ascii="Times New Roman" w:hAnsi="Times New Roman" w:cs="Times New Roman"/>
                <w:b/>
                <w:sz w:val="20"/>
                <w:szCs w:val="20"/>
              </w:rPr>
              <w:t>Kriteri 1:</w:t>
            </w:r>
            <w:r w:rsidRPr="00F07D05">
              <w:rPr>
                <w:rFonts w:ascii="Times New Roman" w:hAnsi="Times New Roman" w:cs="Times New Roman"/>
                <w:sz w:val="20"/>
                <w:szCs w:val="20"/>
              </w:rPr>
              <w:t xml:space="preserve"> Parashikohen ne rregulloren e specializimeve mënyra e frekuentimit, maksimumi i mungesave të lejuara dhe arsyet, leja e lindjes, dhe mënyra </w:t>
            </w:r>
            <w:r w:rsidR="0043272C">
              <w:rPr>
                <w:rFonts w:ascii="Times New Roman" w:hAnsi="Times New Roman" w:cs="Times New Roman"/>
                <w:sz w:val="20"/>
                <w:szCs w:val="20"/>
              </w:rPr>
              <w:t>e rikuperimit të mungesave etj.</w:t>
            </w:r>
          </w:p>
        </w:tc>
        <w:tc>
          <w:tcPr>
            <w:tcW w:w="6660" w:type="dxa"/>
            <w:gridSpan w:val="4"/>
          </w:tcPr>
          <w:p w:rsidR="00BA509A" w:rsidRPr="00A6411D" w:rsidRDefault="00BA509A" w:rsidP="00243BA4">
            <w:pPr>
              <w:spacing w:line="276" w:lineRule="auto"/>
              <w:jc w:val="both"/>
              <w:rPr>
                <w:rFonts w:ascii="Times New Roman" w:hAnsi="Times New Roman" w:cs="Times New Roman"/>
                <w:b/>
              </w:rPr>
            </w:pPr>
          </w:p>
        </w:tc>
      </w:tr>
      <w:tr w:rsidR="00BA509A" w:rsidRPr="00A6411D" w:rsidTr="00A50EA8">
        <w:tc>
          <w:tcPr>
            <w:tcW w:w="3060" w:type="dxa"/>
          </w:tcPr>
          <w:p w:rsidR="00BA509A" w:rsidRPr="00F07D05" w:rsidRDefault="00F07D05" w:rsidP="0043272C">
            <w:pPr>
              <w:spacing w:line="276" w:lineRule="auto"/>
              <w:rPr>
                <w:rFonts w:ascii="Times New Roman" w:hAnsi="Times New Roman" w:cs="Times New Roman"/>
                <w:sz w:val="20"/>
                <w:szCs w:val="20"/>
              </w:rPr>
            </w:pPr>
            <w:r w:rsidRPr="00F07D05">
              <w:rPr>
                <w:rFonts w:ascii="Times New Roman" w:hAnsi="Times New Roman" w:cs="Times New Roman"/>
                <w:b/>
                <w:sz w:val="20"/>
                <w:szCs w:val="20"/>
              </w:rPr>
              <w:t>Kriteri 2:</w:t>
            </w:r>
            <w:r w:rsidRPr="00F07D05">
              <w:rPr>
                <w:rFonts w:ascii="Times New Roman" w:hAnsi="Times New Roman" w:cs="Times New Roman"/>
                <w:sz w:val="20"/>
                <w:szCs w:val="20"/>
              </w:rPr>
              <w:t xml:space="preserve"> Parashikohen  ne rregulloren e specializimeve procedurat  për  transferimet  për  apo  nga  programe  te  tjera specializuese, ose për apo nga institucione të tjera që ofrojnë pro</w:t>
            </w:r>
            <w:r w:rsidR="0043272C">
              <w:rPr>
                <w:rFonts w:ascii="Times New Roman" w:hAnsi="Times New Roman" w:cs="Times New Roman"/>
                <w:sz w:val="20"/>
                <w:szCs w:val="20"/>
              </w:rPr>
              <w:t>grame specializuese në mjekësi.</w:t>
            </w:r>
          </w:p>
        </w:tc>
        <w:tc>
          <w:tcPr>
            <w:tcW w:w="6660" w:type="dxa"/>
            <w:gridSpan w:val="4"/>
          </w:tcPr>
          <w:p w:rsidR="00BA509A" w:rsidRPr="00A6411D" w:rsidRDefault="00BA509A" w:rsidP="00243BA4">
            <w:pPr>
              <w:spacing w:line="276" w:lineRule="auto"/>
              <w:jc w:val="both"/>
              <w:rPr>
                <w:rFonts w:ascii="Times New Roman" w:hAnsi="Times New Roman" w:cs="Times New Roman"/>
                <w:b/>
              </w:rPr>
            </w:pPr>
          </w:p>
        </w:tc>
      </w:tr>
      <w:tr w:rsidR="00BA509A" w:rsidRPr="00A6411D" w:rsidTr="00A50EA8">
        <w:tc>
          <w:tcPr>
            <w:tcW w:w="3060" w:type="dxa"/>
          </w:tcPr>
          <w:p w:rsidR="00BA509A" w:rsidRPr="00F07D05" w:rsidRDefault="00F07D05" w:rsidP="0043272C">
            <w:pPr>
              <w:spacing w:line="276" w:lineRule="auto"/>
              <w:rPr>
                <w:rFonts w:ascii="Times New Roman" w:hAnsi="Times New Roman" w:cs="Times New Roman"/>
                <w:sz w:val="20"/>
                <w:szCs w:val="20"/>
              </w:rPr>
            </w:pPr>
            <w:r w:rsidRPr="00F07D05">
              <w:rPr>
                <w:rFonts w:ascii="Times New Roman" w:hAnsi="Times New Roman" w:cs="Times New Roman"/>
                <w:b/>
                <w:sz w:val="20"/>
                <w:szCs w:val="20"/>
              </w:rPr>
              <w:t>Kriteri 3:</w:t>
            </w:r>
            <w:r w:rsidRPr="00F07D05">
              <w:rPr>
                <w:rFonts w:ascii="Times New Roman" w:hAnsi="Times New Roman" w:cs="Times New Roman"/>
                <w:sz w:val="20"/>
                <w:szCs w:val="20"/>
              </w:rPr>
              <w:t xml:space="preserve"> Parashikohen ne rregulloren e specializimeve kriteret dhe mënyra e pezullimit, zgjatjes ose përjashtimit të specializan</w:t>
            </w:r>
            <w:r w:rsidR="0043272C">
              <w:rPr>
                <w:rFonts w:ascii="Times New Roman" w:hAnsi="Times New Roman" w:cs="Times New Roman"/>
                <w:sz w:val="20"/>
                <w:szCs w:val="20"/>
              </w:rPr>
              <w:t>tit nga studimet specializuese.</w:t>
            </w:r>
          </w:p>
        </w:tc>
        <w:tc>
          <w:tcPr>
            <w:tcW w:w="6660" w:type="dxa"/>
            <w:gridSpan w:val="4"/>
          </w:tcPr>
          <w:p w:rsidR="00BA509A" w:rsidRPr="00A6411D" w:rsidRDefault="00BA509A" w:rsidP="00243BA4">
            <w:pPr>
              <w:spacing w:line="276" w:lineRule="auto"/>
              <w:jc w:val="both"/>
              <w:rPr>
                <w:rFonts w:ascii="Times New Roman" w:hAnsi="Times New Roman" w:cs="Times New Roman"/>
                <w:b/>
              </w:rPr>
            </w:pPr>
          </w:p>
        </w:tc>
      </w:tr>
      <w:tr w:rsidR="00BA509A" w:rsidRPr="00A6411D" w:rsidTr="00A50EA8">
        <w:tc>
          <w:tcPr>
            <w:tcW w:w="3060" w:type="dxa"/>
          </w:tcPr>
          <w:p w:rsidR="00BA509A" w:rsidRPr="00F07D05" w:rsidRDefault="00F07D05" w:rsidP="0043272C">
            <w:pPr>
              <w:spacing w:line="276" w:lineRule="auto"/>
              <w:rPr>
                <w:rFonts w:ascii="Times New Roman" w:hAnsi="Times New Roman" w:cs="Times New Roman"/>
                <w:sz w:val="20"/>
                <w:szCs w:val="20"/>
              </w:rPr>
            </w:pPr>
            <w:r w:rsidRPr="00F07D05">
              <w:rPr>
                <w:rFonts w:ascii="Times New Roman" w:hAnsi="Times New Roman" w:cs="Times New Roman"/>
                <w:b/>
                <w:sz w:val="20"/>
                <w:szCs w:val="20"/>
              </w:rPr>
              <w:t>Kriteri 4:</w:t>
            </w:r>
            <w:r w:rsidRPr="00F07D05">
              <w:rPr>
                <w:rFonts w:ascii="Times New Roman" w:hAnsi="Times New Roman" w:cs="Times New Roman"/>
                <w:sz w:val="20"/>
                <w:szCs w:val="20"/>
              </w:rPr>
              <w:t xml:space="preserve"> Rregullorja  parashikon  rastet  kur  specializimi  mund  të  kryhet  në  një institucion tjetër që nuk është pjesë e rrjetit formues shqiptar, kohëzgjatjen e kësaj periudhe dhe organin aprovues të kësaj procedure. Këto institucione duhet të jenë të akredituara për kryerjen e programit s</w:t>
            </w:r>
            <w:r w:rsidR="0043272C">
              <w:rPr>
                <w:rFonts w:ascii="Times New Roman" w:hAnsi="Times New Roman" w:cs="Times New Roman"/>
                <w:sz w:val="20"/>
                <w:szCs w:val="20"/>
              </w:rPr>
              <w:t>pecializues në vendin përkatës.</w:t>
            </w:r>
          </w:p>
        </w:tc>
        <w:tc>
          <w:tcPr>
            <w:tcW w:w="6660" w:type="dxa"/>
            <w:gridSpan w:val="4"/>
          </w:tcPr>
          <w:p w:rsidR="00BA509A" w:rsidRPr="00A6411D" w:rsidRDefault="00BA509A" w:rsidP="00243BA4">
            <w:pPr>
              <w:spacing w:line="276" w:lineRule="auto"/>
              <w:jc w:val="both"/>
              <w:rPr>
                <w:rFonts w:ascii="Times New Roman" w:hAnsi="Times New Roman" w:cs="Times New Roman"/>
                <w:b/>
              </w:rPr>
            </w:pPr>
          </w:p>
        </w:tc>
      </w:tr>
      <w:tr w:rsidR="00717ED9" w:rsidRPr="00A6411D" w:rsidTr="007066FC">
        <w:trPr>
          <w:trHeight w:val="315"/>
        </w:trPr>
        <w:tc>
          <w:tcPr>
            <w:tcW w:w="3060" w:type="dxa"/>
            <w:vMerge w:val="restart"/>
            <w:shd w:val="clear" w:color="auto" w:fill="F7CAAC" w:themeFill="accent2" w:themeFillTint="66"/>
          </w:tcPr>
          <w:p w:rsidR="00717ED9" w:rsidRPr="00A6411D" w:rsidRDefault="00717ED9" w:rsidP="00243BA4">
            <w:pPr>
              <w:spacing w:line="276" w:lineRule="auto"/>
              <w:rPr>
                <w:rFonts w:ascii="Times New Roman" w:hAnsi="Times New Roman" w:cs="Times New Roman"/>
                <w:b/>
              </w:rPr>
            </w:pPr>
            <w:r w:rsidRPr="00A6411D">
              <w:rPr>
                <w:rFonts w:ascii="Times New Roman" w:hAnsi="Times New Roman" w:cs="Times New Roman"/>
                <w:b/>
              </w:rPr>
              <w:t>Shkalla e përmbushjes sëstandardit</w:t>
            </w:r>
          </w:p>
        </w:tc>
        <w:tc>
          <w:tcPr>
            <w:tcW w:w="1620" w:type="dxa"/>
            <w:shd w:val="clear" w:color="auto" w:fill="FF0000"/>
          </w:tcPr>
          <w:p w:rsidR="00717ED9" w:rsidRPr="00A6411D" w:rsidRDefault="00717ED9" w:rsidP="00243BA4">
            <w:pPr>
              <w:spacing w:line="276" w:lineRule="auto"/>
              <w:jc w:val="both"/>
              <w:rPr>
                <w:rFonts w:ascii="Times New Roman" w:hAnsi="Times New Roman" w:cs="Times New Roman"/>
                <w:b/>
              </w:rPr>
            </w:pPr>
            <w:r w:rsidRPr="00A6411D">
              <w:rPr>
                <w:rFonts w:ascii="Times New Roman" w:hAnsi="Times New Roman" w:cs="Times New Roman"/>
                <w:b/>
              </w:rPr>
              <w:t>Nuk përmbushet</w:t>
            </w:r>
          </w:p>
        </w:tc>
        <w:tc>
          <w:tcPr>
            <w:tcW w:w="1443" w:type="dxa"/>
            <w:shd w:val="clear" w:color="auto" w:fill="FF6600"/>
          </w:tcPr>
          <w:p w:rsidR="00717ED9" w:rsidRPr="00A6411D" w:rsidRDefault="00717ED9" w:rsidP="00243BA4">
            <w:pPr>
              <w:spacing w:line="276" w:lineRule="auto"/>
              <w:jc w:val="both"/>
              <w:rPr>
                <w:rFonts w:ascii="Times New Roman" w:hAnsi="Times New Roman" w:cs="Times New Roman"/>
                <w:b/>
              </w:rPr>
            </w:pPr>
            <w:r w:rsidRPr="00A6411D">
              <w:rPr>
                <w:rFonts w:ascii="Times New Roman" w:hAnsi="Times New Roman" w:cs="Times New Roman"/>
                <w:b/>
              </w:rPr>
              <w:t>Përmbushet pjesërisht</w:t>
            </w:r>
          </w:p>
        </w:tc>
        <w:tc>
          <w:tcPr>
            <w:tcW w:w="1707" w:type="dxa"/>
            <w:shd w:val="clear" w:color="auto" w:fill="CCCC00"/>
          </w:tcPr>
          <w:p w:rsidR="00717ED9" w:rsidRPr="00A6411D" w:rsidRDefault="00717ED9" w:rsidP="00243BA4">
            <w:pPr>
              <w:spacing w:line="276" w:lineRule="auto"/>
              <w:jc w:val="both"/>
              <w:rPr>
                <w:rFonts w:ascii="Times New Roman" w:hAnsi="Times New Roman" w:cs="Times New Roman"/>
                <w:b/>
              </w:rPr>
            </w:pPr>
            <w:r w:rsidRPr="00A6411D">
              <w:rPr>
                <w:rFonts w:ascii="Times New Roman" w:hAnsi="Times New Roman" w:cs="Times New Roman"/>
                <w:b/>
              </w:rPr>
              <w:t>Përmbushet krye</w:t>
            </w:r>
            <w:r w:rsidRPr="00A6411D">
              <w:rPr>
                <w:rFonts w:ascii="Times New Roman" w:hAnsi="Times New Roman" w:cs="Times New Roman"/>
                <w:b/>
                <w:shd w:val="clear" w:color="auto" w:fill="CCCC00"/>
              </w:rPr>
              <w:t>s</w:t>
            </w:r>
            <w:r w:rsidRPr="00A6411D">
              <w:rPr>
                <w:rFonts w:ascii="Times New Roman" w:hAnsi="Times New Roman" w:cs="Times New Roman"/>
                <w:b/>
              </w:rPr>
              <w:t>isht</w:t>
            </w:r>
          </w:p>
        </w:tc>
        <w:tc>
          <w:tcPr>
            <w:tcW w:w="1890" w:type="dxa"/>
            <w:shd w:val="clear" w:color="auto" w:fill="92D050"/>
          </w:tcPr>
          <w:p w:rsidR="00717ED9" w:rsidRPr="00A6411D" w:rsidRDefault="00717ED9" w:rsidP="00243BA4">
            <w:pPr>
              <w:spacing w:line="276" w:lineRule="auto"/>
              <w:jc w:val="both"/>
              <w:rPr>
                <w:rFonts w:ascii="Times New Roman" w:hAnsi="Times New Roman" w:cs="Times New Roman"/>
                <w:b/>
              </w:rPr>
            </w:pPr>
            <w:r w:rsidRPr="00A6411D">
              <w:rPr>
                <w:rFonts w:ascii="Times New Roman" w:hAnsi="Times New Roman" w:cs="Times New Roman"/>
                <w:b/>
              </w:rPr>
              <w:t>Përmbushet plotësisht</w:t>
            </w:r>
          </w:p>
        </w:tc>
      </w:tr>
      <w:tr w:rsidR="00717ED9" w:rsidRPr="00A6411D" w:rsidTr="007066FC">
        <w:trPr>
          <w:trHeight w:val="315"/>
        </w:trPr>
        <w:tc>
          <w:tcPr>
            <w:tcW w:w="3060" w:type="dxa"/>
            <w:vMerge/>
            <w:shd w:val="clear" w:color="auto" w:fill="F7CAAC" w:themeFill="accent2" w:themeFillTint="66"/>
          </w:tcPr>
          <w:p w:rsidR="00717ED9" w:rsidRPr="00A6411D" w:rsidRDefault="00717ED9" w:rsidP="00243BA4">
            <w:pPr>
              <w:spacing w:line="276" w:lineRule="auto"/>
              <w:rPr>
                <w:rFonts w:ascii="Times New Roman" w:hAnsi="Times New Roman" w:cs="Times New Roman"/>
                <w:b/>
              </w:rPr>
            </w:pPr>
          </w:p>
        </w:tc>
        <w:tc>
          <w:tcPr>
            <w:tcW w:w="1620" w:type="dxa"/>
          </w:tcPr>
          <w:p w:rsidR="00717ED9" w:rsidRPr="00A6411D" w:rsidRDefault="00717ED9" w:rsidP="00243BA4">
            <w:pPr>
              <w:spacing w:line="276" w:lineRule="auto"/>
              <w:jc w:val="both"/>
              <w:rPr>
                <w:rFonts w:ascii="Times New Roman" w:hAnsi="Times New Roman" w:cs="Times New Roman"/>
                <w:b/>
              </w:rPr>
            </w:pPr>
          </w:p>
        </w:tc>
        <w:tc>
          <w:tcPr>
            <w:tcW w:w="1443" w:type="dxa"/>
          </w:tcPr>
          <w:p w:rsidR="00717ED9" w:rsidRPr="00A6411D" w:rsidRDefault="00717ED9" w:rsidP="00243BA4">
            <w:pPr>
              <w:spacing w:line="276" w:lineRule="auto"/>
              <w:jc w:val="both"/>
              <w:rPr>
                <w:rFonts w:ascii="Times New Roman" w:hAnsi="Times New Roman" w:cs="Times New Roman"/>
                <w:b/>
              </w:rPr>
            </w:pPr>
          </w:p>
        </w:tc>
        <w:tc>
          <w:tcPr>
            <w:tcW w:w="1707" w:type="dxa"/>
          </w:tcPr>
          <w:p w:rsidR="00717ED9" w:rsidRPr="00A6411D" w:rsidRDefault="00717ED9" w:rsidP="00243BA4">
            <w:pPr>
              <w:spacing w:line="276" w:lineRule="auto"/>
              <w:jc w:val="both"/>
              <w:rPr>
                <w:rFonts w:ascii="Times New Roman" w:hAnsi="Times New Roman" w:cs="Times New Roman"/>
                <w:b/>
              </w:rPr>
            </w:pPr>
          </w:p>
        </w:tc>
        <w:tc>
          <w:tcPr>
            <w:tcW w:w="1890" w:type="dxa"/>
          </w:tcPr>
          <w:p w:rsidR="00717ED9" w:rsidRPr="00A6411D" w:rsidRDefault="00717ED9" w:rsidP="00243BA4">
            <w:pPr>
              <w:spacing w:line="276" w:lineRule="auto"/>
              <w:jc w:val="both"/>
              <w:rPr>
                <w:rFonts w:ascii="Times New Roman" w:hAnsi="Times New Roman" w:cs="Times New Roman"/>
                <w:b/>
              </w:rPr>
            </w:pPr>
          </w:p>
        </w:tc>
      </w:tr>
    </w:tbl>
    <w:p w:rsidR="00F07D05" w:rsidRDefault="00F07D05"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620"/>
        <w:gridCol w:w="1443"/>
        <w:gridCol w:w="1707"/>
        <w:gridCol w:w="1890"/>
      </w:tblGrid>
      <w:tr w:rsidR="00F07D05" w:rsidRPr="00A6411D" w:rsidTr="00596BE2">
        <w:tc>
          <w:tcPr>
            <w:tcW w:w="9720" w:type="dxa"/>
            <w:gridSpan w:val="5"/>
            <w:shd w:val="clear" w:color="auto" w:fill="F7CAAC" w:themeFill="accent2" w:themeFillTint="66"/>
          </w:tcPr>
          <w:p w:rsidR="00F07D05" w:rsidRPr="00A6411D" w:rsidRDefault="00F07D05" w:rsidP="00596BE2">
            <w:pPr>
              <w:spacing w:line="276" w:lineRule="auto"/>
              <w:jc w:val="both"/>
              <w:rPr>
                <w:rFonts w:ascii="Times New Roman" w:eastAsia="Times New Roman" w:hAnsi="Times New Roman" w:cs="Times New Roman"/>
                <w:b/>
                <w:bCs/>
                <w:lang w:val="sq-AL"/>
              </w:rPr>
            </w:pPr>
            <w:r>
              <w:rPr>
                <w:rFonts w:ascii="Times New Roman" w:eastAsia="Times New Roman" w:hAnsi="Times New Roman" w:cs="Times New Roman"/>
                <w:b/>
                <w:bCs/>
                <w:lang w:val="sq-AL"/>
              </w:rPr>
              <w:t>Standardi II.8</w:t>
            </w:r>
            <w:r w:rsidRPr="00A6411D">
              <w:rPr>
                <w:rFonts w:ascii="Times New Roman" w:eastAsia="Times New Roman" w:hAnsi="Times New Roman" w:cs="Times New Roman"/>
                <w:b/>
                <w:bCs/>
                <w:lang w:val="sq-AL"/>
              </w:rPr>
              <w:tab/>
            </w:r>
          </w:p>
          <w:p w:rsidR="00F07D05" w:rsidRPr="00A6411D" w:rsidRDefault="00F07D05" w:rsidP="00596BE2">
            <w:pPr>
              <w:spacing w:line="276" w:lineRule="auto"/>
              <w:jc w:val="both"/>
              <w:rPr>
                <w:rFonts w:ascii="Times New Roman" w:hAnsi="Times New Roman" w:cs="Times New Roman"/>
                <w:b/>
              </w:rPr>
            </w:pPr>
            <w:r w:rsidRPr="00F07D05">
              <w:rPr>
                <w:rFonts w:ascii="Times New Roman" w:eastAsia="Times New Roman" w:hAnsi="Times New Roman" w:cs="Times New Roman"/>
                <w:b/>
                <w:bCs/>
                <w:lang w:val="sq-AL"/>
              </w:rPr>
              <w:t>Në   rregullore   parashikohen element të procesit mës</w:t>
            </w:r>
            <w:r>
              <w:rPr>
                <w:rFonts w:ascii="Times New Roman" w:eastAsia="Times New Roman" w:hAnsi="Times New Roman" w:cs="Times New Roman"/>
                <w:b/>
                <w:bCs/>
                <w:lang w:val="sq-AL"/>
              </w:rPr>
              <w:t>imor të programit specializues .</w:t>
            </w:r>
          </w:p>
        </w:tc>
      </w:tr>
      <w:tr w:rsidR="00F07D05" w:rsidRPr="00A6411D" w:rsidTr="0043272C">
        <w:trPr>
          <w:trHeight w:hRule="exact" w:val="352"/>
        </w:trPr>
        <w:tc>
          <w:tcPr>
            <w:tcW w:w="3060" w:type="dxa"/>
            <w:shd w:val="clear" w:color="auto" w:fill="C5E0B3" w:themeFill="accent6" w:themeFillTint="66"/>
          </w:tcPr>
          <w:p w:rsidR="00F07D05" w:rsidRPr="00A6411D" w:rsidRDefault="00F07D05" w:rsidP="00596BE2">
            <w:pPr>
              <w:spacing w:line="276" w:lineRule="auto"/>
              <w:jc w:val="both"/>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Kriteret</w:t>
            </w:r>
          </w:p>
        </w:tc>
        <w:tc>
          <w:tcPr>
            <w:tcW w:w="6660" w:type="dxa"/>
            <w:gridSpan w:val="4"/>
            <w:shd w:val="clear" w:color="auto" w:fill="C5E0B3" w:themeFill="accent6" w:themeFillTint="66"/>
          </w:tcPr>
          <w:p w:rsidR="00F07D05" w:rsidRPr="00A6411D" w:rsidRDefault="00F07D05" w:rsidP="0043272C">
            <w:pPr>
              <w:spacing w:line="276" w:lineRule="auto"/>
              <w:jc w:val="center"/>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Vlerësimi i ekspertëve</w:t>
            </w:r>
          </w:p>
        </w:tc>
      </w:tr>
      <w:tr w:rsidR="00F07D05" w:rsidRPr="00A6411D" w:rsidTr="00596BE2">
        <w:tc>
          <w:tcPr>
            <w:tcW w:w="3060" w:type="dxa"/>
          </w:tcPr>
          <w:p w:rsidR="00F07D05" w:rsidRPr="00F07D05" w:rsidRDefault="00F07D05" w:rsidP="0043272C">
            <w:pPr>
              <w:spacing w:line="276" w:lineRule="auto"/>
              <w:rPr>
                <w:rFonts w:ascii="Times New Roman" w:hAnsi="Times New Roman" w:cs="Times New Roman"/>
                <w:sz w:val="20"/>
                <w:szCs w:val="20"/>
              </w:rPr>
            </w:pPr>
            <w:r w:rsidRPr="00280621">
              <w:rPr>
                <w:rFonts w:ascii="Times New Roman" w:hAnsi="Times New Roman" w:cs="Times New Roman"/>
                <w:b/>
                <w:sz w:val="20"/>
                <w:szCs w:val="20"/>
              </w:rPr>
              <w:t>Kriteri 1:</w:t>
            </w:r>
            <w:r w:rsidRPr="00280621">
              <w:rPr>
                <w:rFonts w:ascii="Times New Roman" w:hAnsi="Times New Roman" w:cs="Times New Roman"/>
                <w:sz w:val="20"/>
                <w:szCs w:val="20"/>
              </w:rPr>
              <w:t xml:space="preserve"> </w:t>
            </w:r>
            <w:r w:rsidR="00280621" w:rsidRPr="00280621">
              <w:rPr>
                <w:rFonts w:ascii="Times New Roman" w:hAnsi="Times New Roman" w:cs="Times New Roman"/>
                <w:sz w:val="20"/>
                <w:szCs w:val="20"/>
              </w:rPr>
              <w:t>Rregullorja parashikon librezën e aktivitetit praktik së studentit, mënyrën e plotësimit të saj dhe mënyrën e zëvendësimit të saj në rast humbje. Libreza e studentit e shoqëron atë deri në përfundim të ciklit spec</w:t>
            </w:r>
            <w:r w:rsidR="0043272C">
              <w:rPr>
                <w:rFonts w:ascii="Times New Roman" w:hAnsi="Times New Roman" w:cs="Times New Roman"/>
                <w:sz w:val="20"/>
                <w:szCs w:val="20"/>
              </w:rPr>
              <w:t>ializues dhe diplomimit të tij.</w:t>
            </w:r>
          </w:p>
        </w:tc>
        <w:tc>
          <w:tcPr>
            <w:tcW w:w="6660" w:type="dxa"/>
            <w:gridSpan w:val="4"/>
          </w:tcPr>
          <w:p w:rsidR="00F07D05" w:rsidRPr="00A6411D" w:rsidRDefault="00F07D05" w:rsidP="00596BE2">
            <w:pPr>
              <w:spacing w:line="276" w:lineRule="auto"/>
              <w:jc w:val="both"/>
              <w:rPr>
                <w:rFonts w:ascii="Times New Roman" w:hAnsi="Times New Roman" w:cs="Times New Roman"/>
                <w:b/>
              </w:rPr>
            </w:pPr>
          </w:p>
        </w:tc>
      </w:tr>
      <w:tr w:rsidR="00F07D05" w:rsidRPr="00A6411D" w:rsidTr="00596BE2">
        <w:trPr>
          <w:trHeight w:val="315"/>
        </w:trPr>
        <w:tc>
          <w:tcPr>
            <w:tcW w:w="3060" w:type="dxa"/>
            <w:vMerge w:val="restart"/>
            <w:shd w:val="clear" w:color="auto" w:fill="F7CAAC" w:themeFill="accent2" w:themeFillTint="66"/>
          </w:tcPr>
          <w:p w:rsidR="00F07D05" w:rsidRPr="00A6411D" w:rsidRDefault="00F07D05" w:rsidP="00596BE2">
            <w:pPr>
              <w:spacing w:line="276" w:lineRule="auto"/>
              <w:rPr>
                <w:rFonts w:ascii="Times New Roman" w:hAnsi="Times New Roman" w:cs="Times New Roman"/>
                <w:b/>
              </w:rPr>
            </w:pPr>
            <w:r w:rsidRPr="00A6411D">
              <w:rPr>
                <w:rFonts w:ascii="Times New Roman" w:hAnsi="Times New Roman" w:cs="Times New Roman"/>
                <w:b/>
              </w:rPr>
              <w:t>Shkalla e përmbushjes sëstandardit</w:t>
            </w:r>
          </w:p>
        </w:tc>
        <w:tc>
          <w:tcPr>
            <w:tcW w:w="1620" w:type="dxa"/>
            <w:shd w:val="clear" w:color="auto" w:fill="FF0000"/>
          </w:tcPr>
          <w:p w:rsidR="00F07D05" w:rsidRPr="00A6411D" w:rsidRDefault="00F07D05" w:rsidP="00596BE2">
            <w:pPr>
              <w:spacing w:line="276" w:lineRule="auto"/>
              <w:jc w:val="both"/>
              <w:rPr>
                <w:rFonts w:ascii="Times New Roman" w:hAnsi="Times New Roman" w:cs="Times New Roman"/>
                <w:b/>
              </w:rPr>
            </w:pPr>
            <w:r w:rsidRPr="00A6411D">
              <w:rPr>
                <w:rFonts w:ascii="Times New Roman" w:hAnsi="Times New Roman" w:cs="Times New Roman"/>
                <w:b/>
              </w:rPr>
              <w:t>Nuk përmbushet</w:t>
            </w:r>
          </w:p>
        </w:tc>
        <w:tc>
          <w:tcPr>
            <w:tcW w:w="1443" w:type="dxa"/>
            <w:shd w:val="clear" w:color="auto" w:fill="FF6600"/>
          </w:tcPr>
          <w:p w:rsidR="00F07D05" w:rsidRPr="00A6411D" w:rsidRDefault="00F07D05" w:rsidP="00596BE2">
            <w:pPr>
              <w:spacing w:line="276" w:lineRule="auto"/>
              <w:jc w:val="both"/>
              <w:rPr>
                <w:rFonts w:ascii="Times New Roman" w:hAnsi="Times New Roman" w:cs="Times New Roman"/>
                <w:b/>
              </w:rPr>
            </w:pPr>
            <w:r w:rsidRPr="00A6411D">
              <w:rPr>
                <w:rFonts w:ascii="Times New Roman" w:hAnsi="Times New Roman" w:cs="Times New Roman"/>
                <w:b/>
              </w:rPr>
              <w:t>Përmbushet pjesërisht</w:t>
            </w:r>
          </w:p>
        </w:tc>
        <w:tc>
          <w:tcPr>
            <w:tcW w:w="1707" w:type="dxa"/>
            <w:shd w:val="clear" w:color="auto" w:fill="CCCC00"/>
          </w:tcPr>
          <w:p w:rsidR="00F07D05" w:rsidRPr="00A6411D" w:rsidRDefault="00F07D05" w:rsidP="00596BE2">
            <w:pPr>
              <w:spacing w:line="276" w:lineRule="auto"/>
              <w:jc w:val="both"/>
              <w:rPr>
                <w:rFonts w:ascii="Times New Roman" w:hAnsi="Times New Roman" w:cs="Times New Roman"/>
                <w:b/>
              </w:rPr>
            </w:pPr>
            <w:r w:rsidRPr="00A6411D">
              <w:rPr>
                <w:rFonts w:ascii="Times New Roman" w:hAnsi="Times New Roman" w:cs="Times New Roman"/>
                <w:b/>
              </w:rPr>
              <w:t>Përmbushet krye</w:t>
            </w:r>
            <w:r w:rsidRPr="00A6411D">
              <w:rPr>
                <w:rFonts w:ascii="Times New Roman" w:hAnsi="Times New Roman" w:cs="Times New Roman"/>
                <w:b/>
                <w:shd w:val="clear" w:color="auto" w:fill="CCCC00"/>
              </w:rPr>
              <w:t>s</w:t>
            </w:r>
            <w:r w:rsidRPr="00A6411D">
              <w:rPr>
                <w:rFonts w:ascii="Times New Roman" w:hAnsi="Times New Roman" w:cs="Times New Roman"/>
                <w:b/>
              </w:rPr>
              <w:t>isht</w:t>
            </w:r>
          </w:p>
        </w:tc>
        <w:tc>
          <w:tcPr>
            <w:tcW w:w="1890" w:type="dxa"/>
            <w:shd w:val="clear" w:color="auto" w:fill="92D050"/>
          </w:tcPr>
          <w:p w:rsidR="00F07D05" w:rsidRPr="00A6411D" w:rsidRDefault="00F07D05" w:rsidP="00596BE2">
            <w:pPr>
              <w:spacing w:line="276" w:lineRule="auto"/>
              <w:jc w:val="both"/>
              <w:rPr>
                <w:rFonts w:ascii="Times New Roman" w:hAnsi="Times New Roman" w:cs="Times New Roman"/>
                <w:b/>
              </w:rPr>
            </w:pPr>
            <w:r w:rsidRPr="00A6411D">
              <w:rPr>
                <w:rFonts w:ascii="Times New Roman" w:hAnsi="Times New Roman" w:cs="Times New Roman"/>
                <w:b/>
              </w:rPr>
              <w:t>Përmbushet plotësisht</w:t>
            </w:r>
          </w:p>
        </w:tc>
      </w:tr>
      <w:tr w:rsidR="00F07D05" w:rsidRPr="00A6411D" w:rsidTr="00596BE2">
        <w:trPr>
          <w:trHeight w:val="315"/>
        </w:trPr>
        <w:tc>
          <w:tcPr>
            <w:tcW w:w="3060" w:type="dxa"/>
            <w:vMerge/>
            <w:shd w:val="clear" w:color="auto" w:fill="F7CAAC" w:themeFill="accent2" w:themeFillTint="66"/>
          </w:tcPr>
          <w:p w:rsidR="00F07D05" w:rsidRPr="00A6411D" w:rsidRDefault="00F07D05" w:rsidP="00596BE2">
            <w:pPr>
              <w:spacing w:line="276" w:lineRule="auto"/>
              <w:rPr>
                <w:rFonts w:ascii="Times New Roman" w:hAnsi="Times New Roman" w:cs="Times New Roman"/>
                <w:b/>
              </w:rPr>
            </w:pPr>
          </w:p>
        </w:tc>
        <w:tc>
          <w:tcPr>
            <w:tcW w:w="1620" w:type="dxa"/>
          </w:tcPr>
          <w:p w:rsidR="00F07D05" w:rsidRPr="00A6411D" w:rsidRDefault="00F07D05" w:rsidP="00596BE2">
            <w:pPr>
              <w:spacing w:line="276" w:lineRule="auto"/>
              <w:jc w:val="both"/>
              <w:rPr>
                <w:rFonts w:ascii="Times New Roman" w:hAnsi="Times New Roman" w:cs="Times New Roman"/>
                <w:b/>
              </w:rPr>
            </w:pPr>
          </w:p>
        </w:tc>
        <w:tc>
          <w:tcPr>
            <w:tcW w:w="1443" w:type="dxa"/>
          </w:tcPr>
          <w:p w:rsidR="00F07D05" w:rsidRPr="00A6411D" w:rsidRDefault="00F07D05" w:rsidP="00596BE2">
            <w:pPr>
              <w:spacing w:line="276" w:lineRule="auto"/>
              <w:jc w:val="both"/>
              <w:rPr>
                <w:rFonts w:ascii="Times New Roman" w:hAnsi="Times New Roman" w:cs="Times New Roman"/>
                <w:b/>
              </w:rPr>
            </w:pPr>
          </w:p>
        </w:tc>
        <w:tc>
          <w:tcPr>
            <w:tcW w:w="1707" w:type="dxa"/>
          </w:tcPr>
          <w:p w:rsidR="00F07D05" w:rsidRPr="00A6411D" w:rsidRDefault="00F07D05" w:rsidP="00596BE2">
            <w:pPr>
              <w:spacing w:line="276" w:lineRule="auto"/>
              <w:jc w:val="both"/>
              <w:rPr>
                <w:rFonts w:ascii="Times New Roman" w:hAnsi="Times New Roman" w:cs="Times New Roman"/>
                <w:b/>
              </w:rPr>
            </w:pPr>
          </w:p>
        </w:tc>
        <w:tc>
          <w:tcPr>
            <w:tcW w:w="1890" w:type="dxa"/>
          </w:tcPr>
          <w:p w:rsidR="00F07D05" w:rsidRPr="00A6411D" w:rsidRDefault="00F07D05" w:rsidP="00596BE2">
            <w:pPr>
              <w:spacing w:line="276" w:lineRule="auto"/>
              <w:jc w:val="both"/>
              <w:rPr>
                <w:rFonts w:ascii="Times New Roman" w:hAnsi="Times New Roman" w:cs="Times New Roman"/>
                <w:b/>
              </w:rPr>
            </w:pPr>
          </w:p>
        </w:tc>
      </w:tr>
    </w:tbl>
    <w:p w:rsidR="00F07D05" w:rsidRDefault="00F07D05"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620"/>
        <w:gridCol w:w="1443"/>
        <w:gridCol w:w="1707"/>
        <w:gridCol w:w="1890"/>
      </w:tblGrid>
      <w:tr w:rsidR="00F07D05" w:rsidRPr="00A6411D" w:rsidTr="00596BE2">
        <w:tc>
          <w:tcPr>
            <w:tcW w:w="9720" w:type="dxa"/>
            <w:gridSpan w:val="5"/>
            <w:shd w:val="clear" w:color="auto" w:fill="F7CAAC" w:themeFill="accent2" w:themeFillTint="66"/>
          </w:tcPr>
          <w:p w:rsidR="00F07D05" w:rsidRPr="00A6411D" w:rsidRDefault="00F07D05" w:rsidP="00596BE2">
            <w:pPr>
              <w:spacing w:line="276" w:lineRule="auto"/>
              <w:jc w:val="both"/>
              <w:rPr>
                <w:rFonts w:ascii="Times New Roman" w:eastAsia="Times New Roman" w:hAnsi="Times New Roman" w:cs="Times New Roman"/>
                <w:b/>
                <w:bCs/>
                <w:lang w:val="sq-AL"/>
              </w:rPr>
            </w:pPr>
            <w:r>
              <w:rPr>
                <w:rFonts w:ascii="Times New Roman" w:eastAsia="Times New Roman" w:hAnsi="Times New Roman" w:cs="Times New Roman"/>
                <w:b/>
                <w:bCs/>
                <w:lang w:val="sq-AL"/>
              </w:rPr>
              <w:t>Standardi II.9</w:t>
            </w:r>
            <w:r w:rsidRPr="00A6411D">
              <w:rPr>
                <w:rFonts w:ascii="Times New Roman" w:eastAsia="Times New Roman" w:hAnsi="Times New Roman" w:cs="Times New Roman"/>
                <w:b/>
                <w:bCs/>
                <w:lang w:val="sq-AL"/>
              </w:rPr>
              <w:tab/>
            </w:r>
          </w:p>
          <w:p w:rsidR="00F07D05" w:rsidRPr="00A6411D" w:rsidRDefault="00BE4940" w:rsidP="00596BE2">
            <w:pPr>
              <w:spacing w:line="276" w:lineRule="auto"/>
              <w:jc w:val="both"/>
              <w:rPr>
                <w:rFonts w:ascii="Times New Roman" w:hAnsi="Times New Roman" w:cs="Times New Roman"/>
                <w:b/>
              </w:rPr>
            </w:pPr>
            <w:r w:rsidRPr="00BE4940">
              <w:rPr>
                <w:rFonts w:ascii="Times New Roman" w:eastAsia="Times New Roman" w:hAnsi="Times New Roman" w:cs="Times New Roman"/>
                <w:b/>
                <w:bCs/>
                <w:lang w:val="sq-AL"/>
              </w:rPr>
              <w:t>Në rregullore parashikohen procedurat për testimet vjetore dhe testimin përfundimtar si dhe formati i diplomës.</w:t>
            </w:r>
          </w:p>
        </w:tc>
      </w:tr>
      <w:tr w:rsidR="00F07D05" w:rsidRPr="00A6411D" w:rsidTr="0043272C">
        <w:trPr>
          <w:trHeight w:val="377"/>
        </w:trPr>
        <w:tc>
          <w:tcPr>
            <w:tcW w:w="3060" w:type="dxa"/>
            <w:shd w:val="clear" w:color="auto" w:fill="C5E0B3" w:themeFill="accent6" w:themeFillTint="66"/>
          </w:tcPr>
          <w:p w:rsidR="00F07D05" w:rsidRPr="00A6411D" w:rsidRDefault="00F07D05" w:rsidP="00596BE2">
            <w:pPr>
              <w:spacing w:line="276" w:lineRule="auto"/>
              <w:jc w:val="both"/>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Kriteret</w:t>
            </w:r>
          </w:p>
        </w:tc>
        <w:tc>
          <w:tcPr>
            <w:tcW w:w="6660" w:type="dxa"/>
            <w:gridSpan w:val="4"/>
            <w:shd w:val="clear" w:color="auto" w:fill="C5E0B3" w:themeFill="accent6" w:themeFillTint="66"/>
          </w:tcPr>
          <w:p w:rsidR="00F07D05" w:rsidRPr="00A6411D" w:rsidRDefault="00F07D05" w:rsidP="0043272C">
            <w:pPr>
              <w:spacing w:line="276" w:lineRule="auto"/>
              <w:jc w:val="center"/>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Vlerësimi i ekspertëve</w:t>
            </w:r>
          </w:p>
        </w:tc>
      </w:tr>
      <w:tr w:rsidR="00F07D05" w:rsidRPr="00A6411D" w:rsidTr="00596BE2">
        <w:tc>
          <w:tcPr>
            <w:tcW w:w="3060" w:type="dxa"/>
          </w:tcPr>
          <w:p w:rsidR="00F07D05" w:rsidRPr="003F21F8" w:rsidRDefault="003F21F8" w:rsidP="0043272C">
            <w:pPr>
              <w:spacing w:line="276" w:lineRule="auto"/>
              <w:rPr>
                <w:rFonts w:ascii="Times New Roman" w:hAnsi="Times New Roman" w:cs="Times New Roman"/>
                <w:sz w:val="20"/>
                <w:szCs w:val="20"/>
              </w:rPr>
            </w:pPr>
            <w:r w:rsidRPr="003F21F8">
              <w:rPr>
                <w:rFonts w:ascii="Times New Roman" w:hAnsi="Times New Roman" w:cs="Times New Roman"/>
                <w:b/>
                <w:sz w:val="20"/>
                <w:szCs w:val="20"/>
              </w:rPr>
              <w:t>Kriteri 1:</w:t>
            </w:r>
            <w:r w:rsidRPr="003F21F8">
              <w:rPr>
                <w:rFonts w:ascii="Times New Roman" w:hAnsi="Times New Roman" w:cs="Times New Roman"/>
                <w:sz w:val="20"/>
                <w:szCs w:val="20"/>
              </w:rPr>
              <w:t xml:space="preserve"> Në  rregullore  përcaktohet  mënyra  e  testimit  vjetor të lëndëve  dhe ai  përfundimtar  të specializantëve, pikët minimale dhe maksimale, lloji i testit, </w:t>
            </w:r>
            <w:r w:rsidR="0043272C">
              <w:rPr>
                <w:rFonts w:ascii="Times New Roman" w:hAnsi="Times New Roman" w:cs="Times New Roman"/>
                <w:sz w:val="20"/>
                <w:szCs w:val="20"/>
              </w:rPr>
              <w:t>etj.</w:t>
            </w:r>
          </w:p>
        </w:tc>
        <w:tc>
          <w:tcPr>
            <w:tcW w:w="6660" w:type="dxa"/>
            <w:gridSpan w:val="4"/>
          </w:tcPr>
          <w:p w:rsidR="00F07D05" w:rsidRPr="00A6411D" w:rsidRDefault="00F07D05" w:rsidP="00596BE2">
            <w:pPr>
              <w:spacing w:line="276" w:lineRule="auto"/>
              <w:jc w:val="both"/>
              <w:rPr>
                <w:rFonts w:ascii="Times New Roman" w:hAnsi="Times New Roman" w:cs="Times New Roman"/>
                <w:b/>
              </w:rPr>
            </w:pPr>
          </w:p>
        </w:tc>
      </w:tr>
      <w:tr w:rsidR="00F07D05" w:rsidRPr="00A6411D" w:rsidTr="00596BE2">
        <w:tc>
          <w:tcPr>
            <w:tcW w:w="3060" w:type="dxa"/>
          </w:tcPr>
          <w:p w:rsidR="00F07D05" w:rsidRPr="003F21F8" w:rsidRDefault="00F07D05" w:rsidP="0043272C">
            <w:pPr>
              <w:spacing w:line="276" w:lineRule="auto"/>
              <w:rPr>
                <w:rFonts w:ascii="Times New Roman" w:hAnsi="Times New Roman" w:cs="Times New Roman"/>
                <w:sz w:val="20"/>
                <w:szCs w:val="20"/>
              </w:rPr>
            </w:pPr>
            <w:r w:rsidRPr="003F21F8">
              <w:rPr>
                <w:rFonts w:ascii="Times New Roman" w:hAnsi="Times New Roman" w:cs="Times New Roman"/>
                <w:b/>
                <w:sz w:val="20"/>
                <w:szCs w:val="20"/>
              </w:rPr>
              <w:t>Kriteri 2:</w:t>
            </w:r>
            <w:r w:rsidRPr="003F21F8">
              <w:rPr>
                <w:rFonts w:ascii="Times New Roman" w:hAnsi="Times New Roman" w:cs="Times New Roman"/>
                <w:sz w:val="20"/>
                <w:szCs w:val="20"/>
              </w:rPr>
              <w:t xml:space="preserve"> </w:t>
            </w:r>
            <w:r w:rsidR="003F21F8" w:rsidRPr="003F21F8">
              <w:rPr>
                <w:rFonts w:ascii="Times New Roman" w:hAnsi="Times New Roman" w:cs="Times New Roman"/>
                <w:sz w:val="20"/>
                <w:szCs w:val="20"/>
              </w:rPr>
              <w:t>Në rregullore përcaktohen rastet e mungesave të justifikuara në testime dhe mënyra e rikuperimit të testimit në këto raste.</w:t>
            </w:r>
          </w:p>
        </w:tc>
        <w:tc>
          <w:tcPr>
            <w:tcW w:w="6660" w:type="dxa"/>
            <w:gridSpan w:val="4"/>
          </w:tcPr>
          <w:p w:rsidR="00F07D05" w:rsidRPr="00A6411D" w:rsidRDefault="00F07D05" w:rsidP="00596BE2">
            <w:pPr>
              <w:spacing w:line="276" w:lineRule="auto"/>
              <w:jc w:val="both"/>
              <w:rPr>
                <w:rFonts w:ascii="Times New Roman" w:hAnsi="Times New Roman" w:cs="Times New Roman"/>
                <w:b/>
              </w:rPr>
            </w:pPr>
          </w:p>
        </w:tc>
      </w:tr>
      <w:tr w:rsidR="00F07D05" w:rsidRPr="00A6411D" w:rsidTr="00596BE2">
        <w:tc>
          <w:tcPr>
            <w:tcW w:w="3060" w:type="dxa"/>
          </w:tcPr>
          <w:p w:rsidR="00F07D05" w:rsidRPr="003F21F8" w:rsidRDefault="00F07D05" w:rsidP="0043272C">
            <w:pPr>
              <w:spacing w:line="276" w:lineRule="auto"/>
              <w:rPr>
                <w:rFonts w:ascii="Times New Roman" w:hAnsi="Times New Roman" w:cs="Times New Roman"/>
                <w:sz w:val="20"/>
                <w:szCs w:val="20"/>
              </w:rPr>
            </w:pPr>
            <w:r w:rsidRPr="003F21F8">
              <w:rPr>
                <w:rFonts w:ascii="Times New Roman" w:hAnsi="Times New Roman" w:cs="Times New Roman"/>
                <w:b/>
                <w:sz w:val="20"/>
                <w:szCs w:val="20"/>
              </w:rPr>
              <w:t>Kriteri 3:</w:t>
            </w:r>
            <w:r w:rsidRPr="003F21F8">
              <w:rPr>
                <w:rFonts w:ascii="Times New Roman" w:hAnsi="Times New Roman" w:cs="Times New Roman"/>
                <w:sz w:val="20"/>
                <w:szCs w:val="20"/>
              </w:rPr>
              <w:t xml:space="preserve"> </w:t>
            </w:r>
            <w:r w:rsidR="003F21F8" w:rsidRPr="003F21F8">
              <w:rPr>
                <w:rFonts w:ascii="Times New Roman" w:hAnsi="Times New Roman" w:cs="Times New Roman"/>
                <w:sz w:val="20"/>
                <w:szCs w:val="20"/>
              </w:rPr>
              <w:t>Në përfundim të studimeve të specializimit afatgjatë, I diplomuari pajiset me diplomën e specializimit. Diploma duhet të firmoset nga rektori i IAL dhe dekani i fakultetit përkatës</w:t>
            </w:r>
          </w:p>
        </w:tc>
        <w:tc>
          <w:tcPr>
            <w:tcW w:w="6660" w:type="dxa"/>
            <w:gridSpan w:val="4"/>
          </w:tcPr>
          <w:p w:rsidR="00F07D05" w:rsidRPr="00A6411D" w:rsidRDefault="00F07D05" w:rsidP="00596BE2">
            <w:pPr>
              <w:spacing w:line="276" w:lineRule="auto"/>
              <w:jc w:val="both"/>
              <w:rPr>
                <w:rFonts w:ascii="Times New Roman" w:hAnsi="Times New Roman" w:cs="Times New Roman"/>
                <w:b/>
              </w:rPr>
            </w:pPr>
          </w:p>
        </w:tc>
      </w:tr>
      <w:tr w:rsidR="00F07D05" w:rsidRPr="00A6411D" w:rsidTr="00596BE2">
        <w:trPr>
          <w:trHeight w:val="315"/>
        </w:trPr>
        <w:tc>
          <w:tcPr>
            <w:tcW w:w="3060" w:type="dxa"/>
            <w:vMerge w:val="restart"/>
            <w:shd w:val="clear" w:color="auto" w:fill="F7CAAC" w:themeFill="accent2" w:themeFillTint="66"/>
          </w:tcPr>
          <w:p w:rsidR="00F07D05" w:rsidRPr="00A6411D" w:rsidRDefault="00F07D05" w:rsidP="00596BE2">
            <w:pPr>
              <w:spacing w:line="276" w:lineRule="auto"/>
              <w:rPr>
                <w:rFonts w:ascii="Times New Roman" w:hAnsi="Times New Roman" w:cs="Times New Roman"/>
                <w:b/>
              </w:rPr>
            </w:pPr>
            <w:r w:rsidRPr="00A6411D">
              <w:rPr>
                <w:rFonts w:ascii="Times New Roman" w:hAnsi="Times New Roman" w:cs="Times New Roman"/>
                <w:b/>
              </w:rPr>
              <w:t>Shkalla e përmbushjes sëstandardit</w:t>
            </w:r>
          </w:p>
        </w:tc>
        <w:tc>
          <w:tcPr>
            <w:tcW w:w="1620" w:type="dxa"/>
            <w:shd w:val="clear" w:color="auto" w:fill="FF0000"/>
          </w:tcPr>
          <w:p w:rsidR="00F07D05" w:rsidRPr="00A6411D" w:rsidRDefault="00F07D05" w:rsidP="00596BE2">
            <w:pPr>
              <w:spacing w:line="276" w:lineRule="auto"/>
              <w:jc w:val="both"/>
              <w:rPr>
                <w:rFonts w:ascii="Times New Roman" w:hAnsi="Times New Roman" w:cs="Times New Roman"/>
                <w:b/>
              </w:rPr>
            </w:pPr>
            <w:r w:rsidRPr="00A6411D">
              <w:rPr>
                <w:rFonts w:ascii="Times New Roman" w:hAnsi="Times New Roman" w:cs="Times New Roman"/>
                <w:b/>
              </w:rPr>
              <w:t>Nuk përmbushet</w:t>
            </w:r>
          </w:p>
        </w:tc>
        <w:tc>
          <w:tcPr>
            <w:tcW w:w="1443" w:type="dxa"/>
            <w:shd w:val="clear" w:color="auto" w:fill="FF6600"/>
          </w:tcPr>
          <w:p w:rsidR="00F07D05" w:rsidRPr="00A6411D" w:rsidRDefault="00F07D05" w:rsidP="00596BE2">
            <w:pPr>
              <w:spacing w:line="276" w:lineRule="auto"/>
              <w:jc w:val="both"/>
              <w:rPr>
                <w:rFonts w:ascii="Times New Roman" w:hAnsi="Times New Roman" w:cs="Times New Roman"/>
                <w:b/>
              </w:rPr>
            </w:pPr>
            <w:r w:rsidRPr="00A6411D">
              <w:rPr>
                <w:rFonts w:ascii="Times New Roman" w:hAnsi="Times New Roman" w:cs="Times New Roman"/>
                <w:b/>
              </w:rPr>
              <w:t>Përmbushet pjesërisht</w:t>
            </w:r>
          </w:p>
        </w:tc>
        <w:tc>
          <w:tcPr>
            <w:tcW w:w="1707" w:type="dxa"/>
            <w:shd w:val="clear" w:color="auto" w:fill="CCCC00"/>
          </w:tcPr>
          <w:p w:rsidR="00F07D05" w:rsidRPr="00A6411D" w:rsidRDefault="00F07D05" w:rsidP="00596BE2">
            <w:pPr>
              <w:spacing w:line="276" w:lineRule="auto"/>
              <w:jc w:val="both"/>
              <w:rPr>
                <w:rFonts w:ascii="Times New Roman" w:hAnsi="Times New Roman" w:cs="Times New Roman"/>
                <w:b/>
              </w:rPr>
            </w:pPr>
            <w:r w:rsidRPr="00A6411D">
              <w:rPr>
                <w:rFonts w:ascii="Times New Roman" w:hAnsi="Times New Roman" w:cs="Times New Roman"/>
                <w:b/>
              </w:rPr>
              <w:t>Përmbushet krye</w:t>
            </w:r>
            <w:r w:rsidRPr="00A6411D">
              <w:rPr>
                <w:rFonts w:ascii="Times New Roman" w:hAnsi="Times New Roman" w:cs="Times New Roman"/>
                <w:b/>
                <w:shd w:val="clear" w:color="auto" w:fill="CCCC00"/>
              </w:rPr>
              <w:t>s</w:t>
            </w:r>
            <w:r w:rsidRPr="00A6411D">
              <w:rPr>
                <w:rFonts w:ascii="Times New Roman" w:hAnsi="Times New Roman" w:cs="Times New Roman"/>
                <w:b/>
              </w:rPr>
              <w:t>isht</w:t>
            </w:r>
          </w:p>
        </w:tc>
        <w:tc>
          <w:tcPr>
            <w:tcW w:w="1890" w:type="dxa"/>
            <w:shd w:val="clear" w:color="auto" w:fill="92D050"/>
          </w:tcPr>
          <w:p w:rsidR="00F07D05" w:rsidRPr="00A6411D" w:rsidRDefault="00F07D05" w:rsidP="00596BE2">
            <w:pPr>
              <w:spacing w:line="276" w:lineRule="auto"/>
              <w:jc w:val="both"/>
              <w:rPr>
                <w:rFonts w:ascii="Times New Roman" w:hAnsi="Times New Roman" w:cs="Times New Roman"/>
                <w:b/>
              </w:rPr>
            </w:pPr>
            <w:r w:rsidRPr="00A6411D">
              <w:rPr>
                <w:rFonts w:ascii="Times New Roman" w:hAnsi="Times New Roman" w:cs="Times New Roman"/>
                <w:b/>
              </w:rPr>
              <w:t>Përmbushet plotësisht</w:t>
            </w:r>
          </w:p>
        </w:tc>
      </w:tr>
      <w:tr w:rsidR="00F07D05" w:rsidRPr="00A6411D" w:rsidTr="00596BE2">
        <w:trPr>
          <w:trHeight w:val="315"/>
        </w:trPr>
        <w:tc>
          <w:tcPr>
            <w:tcW w:w="3060" w:type="dxa"/>
            <w:vMerge/>
            <w:shd w:val="clear" w:color="auto" w:fill="F7CAAC" w:themeFill="accent2" w:themeFillTint="66"/>
          </w:tcPr>
          <w:p w:rsidR="00F07D05" w:rsidRPr="00A6411D" w:rsidRDefault="00F07D05" w:rsidP="00596BE2">
            <w:pPr>
              <w:spacing w:line="276" w:lineRule="auto"/>
              <w:rPr>
                <w:rFonts w:ascii="Times New Roman" w:hAnsi="Times New Roman" w:cs="Times New Roman"/>
                <w:b/>
              </w:rPr>
            </w:pPr>
          </w:p>
        </w:tc>
        <w:tc>
          <w:tcPr>
            <w:tcW w:w="1620" w:type="dxa"/>
          </w:tcPr>
          <w:p w:rsidR="00F07D05" w:rsidRPr="00A6411D" w:rsidRDefault="00F07D05" w:rsidP="00596BE2">
            <w:pPr>
              <w:spacing w:line="276" w:lineRule="auto"/>
              <w:jc w:val="both"/>
              <w:rPr>
                <w:rFonts w:ascii="Times New Roman" w:hAnsi="Times New Roman" w:cs="Times New Roman"/>
                <w:b/>
              </w:rPr>
            </w:pPr>
          </w:p>
        </w:tc>
        <w:tc>
          <w:tcPr>
            <w:tcW w:w="1443" w:type="dxa"/>
          </w:tcPr>
          <w:p w:rsidR="00F07D05" w:rsidRPr="00A6411D" w:rsidRDefault="00F07D05" w:rsidP="00596BE2">
            <w:pPr>
              <w:spacing w:line="276" w:lineRule="auto"/>
              <w:jc w:val="both"/>
              <w:rPr>
                <w:rFonts w:ascii="Times New Roman" w:hAnsi="Times New Roman" w:cs="Times New Roman"/>
                <w:b/>
              </w:rPr>
            </w:pPr>
          </w:p>
        </w:tc>
        <w:tc>
          <w:tcPr>
            <w:tcW w:w="1707" w:type="dxa"/>
          </w:tcPr>
          <w:p w:rsidR="00F07D05" w:rsidRPr="00A6411D" w:rsidRDefault="00F07D05" w:rsidP="00596BE2">
            <w:pPr>
              <w:spacing w:line="276" w:lineRule="auto"/>
              <w:jc w:val="both"/>
              <w:rPr>
                <w:rFonts w:ascii="Times New Roman" w:hAnsi="Times New Roman" w:cs="Times New Roman"/>
                <w:b/>
              </w:rPr>
            </w:pPr>
          </w:p>
        </w:tc>
        <w:tc>
          <w:tcPr>
            <w:tcW w:w="1890" w:type="dxa"/>
          </w:tcPr>
          <w:p w:rsidR="00F07D05" w:rsidRPr="00A6411D" w:rsidRDefault="00F07D05" w:rsidP="00596BE2">
            <w:pPr>
              <w:spacing w:line="276" w:lineRule="auto"/>
              <w:jc w:val="both"/>
              <w:rPr>
                <w:rFonts w:ascii="Times New Roman" w:hAnsi="Times New Roman" w:cs="Times New Roman"/>
                <w:b/>
              </w:rPr>
            </w:pPr>
          </w:p>
        </w:tc>
      </w:tr>
    </w:tbl>
    <w:p w:rsidR="00F07D05" w:rsidRDefault="00F07D05"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58"/>
        <w:gridCol w:w="1620"/>
        <w:gridCol w:w="1443"/>
        <w:gridCol w:w="1710"/>
        <w:gridCol w:w="1889"/>
      </w:tblGrid>
      <w:tr w:rsidR="00F07D05" w:rsidRPr="00A6411D" w:rsidTr="00596BE2">
        <w:tc>
          <w:tcPr>
            <w:tcW w:w="9720" w:type="dxa"/>
            <w:gridSpan w:val="5"/>
            <w:shd w:val="clear" w:color="auto" w:fill="F7CAAC" w:themeFill="accent2" w:themeFillTint="66"/>
          </w:tcPr>
          <w:p w:rsidR="00F07D05" w:rsidRPr="00A6411D" w:rsidRDefault="00F07D05" w:rsidP="00596BE2">
            <w:pPr>
              <w:spacing w:line="276" w:lineRule="auto"/>
              <w:jc w:val="both"/>
              <w:rPr>
                <w:rFonts w:ascii="Times New Roman" w:eastAsia="Times New Roman" w:hAnsi="Times New Roman" w:cs="Times New Roman"/>
                <w:b/>
                <w:bCs/>
                <w:lang w:val="sq-AL"/>
              </w:rPr>
            </w:pPr>
            <w:r>
              <w:rPr>
                <w:rFonts w:ascii="Times New Roman" w:eastAsia="Times New Roman" w:hAnsi="Times New Roman" w:cs="Times New Roman"/>
                <w:b/>
                <w:bCs/>
                <w:lang w:val="sq-AL"/>
              </w:rPr>
              <w:t>Standardi II.10</w:t>
            </w:r>
            <w:r w:rsidRPr="00A6411D">
              <w:rPr>
                <w:rFonts w:ascii="Times New Roman" w:eastAsia="Times New Roman" w:hAnsi="Times New Roman" w:cs="Times New Roman"/>
                <w:b/>
                <w:bCs/>
                <w:lang w:val="sq-AL"/>
              </w:rPr>
              <w:tab/>
            </w:r>
          </w:p>
          <w:p w:rsidR="00F07D05" w:rsidRPr="00A6411D" w:rsidRDefault="003F21F8" w:rsidP="00596BE2">
            <w:pPr>
              <w:spacing w:line="276" w:lineRule="auto"/>
              <w:jc w:val="both"/>
              <w:rPr>
                <w:rFonts w:ascii="Times New Roman" w:hAnsi="Times New Roman" w:cs="Times New Roman"/>
                <w:b/>
              </w:rPr>
            </w:pPr>
            <w:r w:rsidRPr="003F21F8">
              <w:rPr>
                <w:rFonts w:ascii="Times New Roman" w:eastAsia="Times New Roman" w:hAnsi="Times New Roman" w:cs="Times New Roman"/>
                <w:b/>
                <w:bCs/>
                <w:lang w:val="sq-AL"/>
              </w:rPr>
              <w:t>Të drejtat dhe detyrimet e specializantit.</w:t>
            </w:r>
          </w:p>
        </w:tc>
      </w:tr>
      <w:tr w:rsidR="00F07D05" w:rsidRPr="00A6411D" w:rsidTr="0043272C">
        <w:trPr>
          <w:trHeight w:val="395"/>
        </w:trPr>
        <w:tc>
          <w:tcPr>
            <w:tcW w:w="3058" w:type="dxa"/>
            <w:shd w:val="clear" w:color="auto" w:fill="C5E0B3" w:themeFill="accent6" w:themeFillTint="66"/>
          </w:tcPr>
          <w:p w:rsidR="00F07D05" w:rsidRPr="00A6411D" w:rsidRDefault="00F07D05" w:rsidP="00596BE2">
            <w:pPr>
              <w:spacing w:line="276" w:lineRule="auto"/>
              <w:jc w:val="both"/>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Kriteret</w:t>
            </w:r>
          </w:p>
        </w:tc>
        <w:tc>
          <w:tcPr>
            <w:tcW w:w="6662" w:type="dxa"/>
            <w:gridSpan w:val="4"/>
            <w:shd w:val="clear" w:color="auto" w:fill="C5E0B3" w:themeFill="accent6" w:themeFillTint="66"/>
          </w:tcPr>
          <w:p w:rsidR="00F07D05" w:rsidRPr="00A6411D" w:rsidRDefault="00F07D05" w:rsidP="0043272C">
            <w:pPr>
              <w:spacing w:line="276" w:lineRule="auto"/>
              <w:jc w:val="center"/>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Vlerësimi i ekspertëve</w:t>
            </w:r>
          </w:p>
        </w:tc>
      </w:tr>
      <w:tr w:rsidR="00F07D05" w:rsidRPr="00A6411D" w:rsidTr="00036E0D">
        <w:tc>
          <w:tcPr>
            <w:tcW w:w="3058" w:type="dxa"/>
          </w:tcPr>
          <w:p w:rsidR="00F07D05" w:rsidRPr="00036E0D" w:rsidRDefault="00036E0D" w:rsidP="0043272C">
            <w:pPr>
              <w:spacing w:line="276" w:lineRule="auto"/>
              <w:rPr>
                <w:rFonts w:ascii="Times New Roman" w:hAnsi="Times New Roman" w:cs="Times New Roman"/>
                <w:sz w:val="20"/>
                <w:szCs w:val="20"/>
              </w:rPr>
            </w:pPr>
            <w:r w:rsidRPr="00750732">
              <w:rPr>
                <w:rFonts w:ascii="Times New Roman" w:hAnsi="Times New Roman" w:cs="Times New Roman"/>
                <w:b/>
                <w:sz w:val="20"/>
                <w:szCs w:val="20"/>
              </w:rPr>
              <w:lastRenderedPageBreak/>
              <w:t>Kriteri 1:</w:t>
            </w:r>
            <w:r w:rsidRPr="00036E0D">
              <w:rPr>
                <w:rFonts w:ascii="Times New Roman" w:hAnsi="Times New Roman" w:cs="Times New Roman"/>
                <w:sz w:val="20"/>
                <w:szCs w:val="20"/>
              </w:rPr>
              <w:t xml:space="preserve"> Rregullorja duhet të përmbajë detyrat dhe </w:t>
            </w:r>
            <w:r w:rsidR="0043272C">
              <w:rPr>
                <w:rFonts w:ascii="Times New Roman" w:hAnsi="Times New Roman" w:cs="Times New Roman"/>
                <w:sz w:val="20"/>
                <w:szCs w:val="20"/>
              </w:rPr>
              <w:t>të drejtat që ka specializanti.</w:t>
            </w:r>
          </w:p>
        </w:tc>
        <w:tc>
          <w:tcPr>
            <w:tcW w:w="6662" w:type="dxa"/>
            <w:gridSpan w:val="4"/>
          </w:tcPr>
          <w:p w:rsidR="00F07D05" w:rsidRPr="00A6411D" w:rsidRDefault="00F07D05" w:rsidP="00596BE2">
            <w:pPr>
              <w:spacing w:line="276" w:lineRule="auto"/>
              <w:jc w:val="both"/>
              <w:rPr>
                <w:rFonts w:ascii="Times New Roman" w:hAnsi="Times New Roman" w:cs="Times New Roman"/>
                <w:b/>
              </w:rPr>
            </w:pPr>
          </w:p>
        </w:tc>
      </w:tr>
      <w:tr w:rsidR="00F07D05" w:rsidRPr="00A6411D" w:rsidTr="00036E0D">
        <w:tc>
          <w:tcPr>
            <w:tcW w:w="3058" w:type="dxa"/>
          </w:tcPr>
          <w:p w:rsidR="00F07D05" w:rsidRPr="00036E0D" w:rsidRDefault="00036E0D" w:rsidP="0043272C">
            <w:pPr>
              <w:spacing w:line="276" w:lineRule="auto"/>
              <w:rPr>
                <w:rFonts w:ascii="Times New Roman" w:hAnsi="Times New Roman" w:cs="Times New Roman"/>
                <w:sz w:val="20"/>
                <w:szCs w:val="20"/>
              </w:rPr>
            </w:pPr>
            <w:r w:rsidRPr="00750732">
              <w:rPr>
                <w:rFonts w:ascii="Times New Roman" w:hAnsi="Times New Roman" w:cs="Times New Roman"/>
                <w:b/>
                <w:sz w:val="20"/>
                <w:szCs w:val="20"/>
              </w:rPr>
              <w:t>Kriteri 2:</w:t>
            </w:r>
            <w:r w:rsidRPr="00036E0D">
              <w:rPr>
                <w:rFonts w:ascii="Times New Roman" w:hAnsi="Times New Roman" w:cs="Times New Roman"/>
                <w:sz w:val="20"/>
                <w:szCs w:val="20"/>
              </w:rPr>
              <w:t xml:space="preserve"> Në rregullore përcaktohet tipologjia dhe mënyra e sigurimit të specializantëve gjatë kryerjes së specializimit. Parashikohet tipi i policës së sigurimit dh</w:t>
            </w:r>
            <w:r w:rsidR="0043272C">
              <w:rPr>
                <w:rFonts w:ascii="Times New Roman" w:hAnsi="Times New Roman" w:cs="Times New Roman"/>
                <w:sz w:val="20"/>
                <w:szCs w:val="20"/>
              </w:rPr>
              <w:t>e masa e mbulimit.</w:t>
            </w:r>
          </w:p>
        </w:tc>
        <w:tc>
          <w:tcPr>
            <w:tcW w:w="6662" w:type="dxa"/>
            <w:gridSpan w:val="4"/>
          </w:tcPr>
          <w:p w:rsidR="00F07D05" w:rsidRPr="00A6411D" w:rsidRDefault="00F07D05" w:rsidP="00596BE2">
            <w:pPr>
              <w:spacing w:line="276" w:lineRule="auto"/>
              <w:jc w:val="both"/>
              <w:rPr>
                <w:rFonts w:ascii="Times New Roman" w:hAnsi="Times New Roman" w:cs="Times New Roman"/>
                <w:b/>
              </w:rPr>
            </w:pPr>
          </w:p>
        </w:tc>
      </w:tr>
      <w:tr w:rsidR="00F07D05" w:rsidRPr="00A6411D" w:rsidTr="00036E0D">
        <w:tc>
          <w:tcPr>
            <w:tcW w:w="3058" w:type="dxa"/>
          </w:tcPr>
          <w:p w:rsidR="00F07D05" w:rsidRPr="00036E0D" w:rsidRDefault="00036E0D" w:rsidP="0043272C">
            <w:pPr>
              <w:spacing w:line="276" w:lineRule="auto"/>
              <w:rPr>
                <w:rFonts w:ascii="Times New Roman" w:hAnsi="Times New Roman" w:cs="Times New Roman"/>
                <w:sz w:val="20"/>
                <w:szCs w:val="20"/>
              </w:rPr>
            </w:pPr>
            <w:r w:rsidRPr="00750732">
              <w:rPr>
                <w:rFonts w:ascii="Times New Roman" w:hAnsi="Times New Roman" w:cs="Times New Roman"/>
                <w:b/>
                <w:sz w:val="20"/>
                <w:szCs w:val="20"/>
              </w:rPr>
              <w:t>Kriteri 3:</w:t>
            </w:r>
            <w:r w:rsidRPr="00036E0D">
              <w:rPr>
                <w:rFonts w:ascii="Times New Roman" w:hAnsi="Times New Roman" w:cs="Times New Roman"/>
                <w:sz w:val="20"/>
                <w:szCs w:val="20"/>
              </w:rPr>
              <w:t xml:space="preserve"> Parashikohen   rastet   kur   mund   të   pezullohet   specializimi   nga   ana   e specializantit dhe periudha maksimale e lejuar për pezullim, si dhe procedurat për </w:t>
            </w:r>
            <w:r w:rsidR="0043272C">
              <w:rPr>
                <w:rFonts w:ascii="Times New Roman" w:hAnsi="Times New Roman" w:cs="Times New Roman"/>
                <w:sz w:val="20"/>
                <w:szCs w:val="20"/>
              </w:rPr>
              <w:t>të hequr dorë nga specializimi.</w:t>
            </w:r>
          </w:p>
        </w:tc>
        <w:tc>
          <w:tcPr>
            <w:tcW w:w="6662" w:type="dxa"/>
            <w:gridSpan w:val="4"/>
          </w:tcPr>
          <w:p w:rsidR="00F07D05" w:rsidRPr="00A6411D" w:rsidRDefault="00F07D05" w:rsidP="00596BE2">
            <w:pPr>
              <w:spacing w:line="276" w:lineRule="auto"/>
              <w:jc w:val="both"/>
              <w:rPr>
                <w:rFonts w:ascii="Times New Roman" w:hAnsi="Times New Roman" w:cs="Times New Roman"/>
                <w:b/>
              </w:rPr>
            </w:pPr>
          </w:p>
        </w:tc>
      </w:tr>
      <w:tr w:rsidR="00F07D05" w:rsidRPr="00A6411D" w:rsidTr="00036E0D">
        <w:tc>
          <w:tcPr>
            <w:tcW w:w="3058" w:type="dxa"/>
          </w:tcPr>
          <w:p w:rsidR="00F07D05" w:rsidRPr="00036E0D" w:rsidRDefault="00036E0D" w:rsidP="0043272C">
            <w:pPr>
              <w:spacing w:line="276" w:lineRule="auto"/>
              <w:rPr>
                <w:rFonts w:ascii="Times New Roman" w:hAnsi="Times New Roman" w:cs="Times New Roman"/>
                <w:sz w:val="20"/>
                <w:szCs w:val="20"/>
              </w:rPr>
            </w:pPr>
            <w:r w:rsidRPr="00750732">
              <w:rPr>
                <w:rFonts w:ascii="Times New Roman" w:hAnsi="Times New Roman" w:cs="Times New Roman"/>
                <w:b/>
                <w:sz w:val="20"/>
                <w:szCs w:val="20"/>
              </w:rPr>
              <w:t>Kriteri 4:</w:t>
            </w:r>
            <w:r w:rsidRPr="00036E0D">
              <w:rPr>
                <w:rFonts w:ascii="Times New Roman" w:hAnsi="Times New Roman" w:cs="Times New Roman"/>
                <w:sz w:val="20"/>
                <w:szCs w:val="20"/>
              </w:rPr>
              <w:t xml:space="preserve"> Në rregullore përcaktohen tregues të matshëm lidhur me plagjiaturën të punimit të diplomës si dhe referenca lidhura me to duke u kujdesur që niveli i ngjashmërisë të punimi</w:t>
            </w:r>
            <w:r w:rsidR="0043272C">
              <w:rPr>
                <w:rFonts w:ascii="Times New Roman" w:hAnsi="Times New Roman" w:cs="Times New Roman"/>
                <w:sz w:val="20"/>
                <w:szCs w:val="20"/>
              </w:rPr>
              <w:t xml:space="preserve">t të diplomës të jenë nën 30%. </w:t>
            </w:r>
          </w:p>
        </w:tc>
        <w:tc>
          <w:tcPr>
            <w:tcW w:w="6662" w:type="dxa"/>
            <w:gridSpan w:val="4"/>
          </w:tcPr>
          <w:p w:rsidR="00F07D05" w:rsidRPr="00A6411D" w:rsidRDefault="00F07D05" w:rsidP="00596BE2">
            <w:pPr>
              <w:spacing w:line="276" w:lineRule="auto"/>
              <w:jc w:val="both"/>
              <w:rPr>
                <w:rFonts w:ascii="Times New Roman" w:hAnsi="Times New Roman" w:cs="Times New Roman"/>
                <w:b/>
              </w:rPr>
            </w:pPr>
          </w:p>
        </w:tc>
      </w:tr>
      <w:tr w:rsidR="00F07D05" w:rsidRPr="00A6411D" w:rsidTr="00036E0D">
        <w:trPr>
          <w:trHeight w:val="315"/>
        </w:trPr>
        <w:tc>
          <w:tcPr>
            <w:tcW w:w="3058" w:type="dxa"/>
            <w:vMerge w:val="restart"/>
            <w:shd w:val="clear" w:color="auto" w:fill="F7CAAC" w:themeFill="accent2" w:themeFillTint="66"/>
          </w:tcPr>
          <w:p w:rsidR="00F07D05" w:rsidRPr="00A6411D" w:rsidRDefault="00F07D05" w:rsidP="00596BE2">
            <w:pPr>
              <w:spacing w:line="276" w:lineRule="auto"/>
              <w:rPr>
                <w:rFonts w:ascii="Times New Roman" w:hAnsi="Times New Roman" w:cs="Times New Roman"/>
                <w:b/>
              </w:rPr>
            </w:pPr>
            <w:r w:rsidRPr="00A6411D">
              <w:rPr>
                <w:rFonts w:ascii="Times New Roman" w:hAnsi="Times New Roman" w:cs="Times New Roman"/>
                <w:b/>
              </w:rPr>
              <w:t>Shkalla e përmbushjes sëstandardit</w:t>
            </w:r>
          </w:p>
        </w:tc>
        <w:tc>
          <w:tcPr>
            <w:tcW w:w="1620" w:type="dxa"/>
            <w:shd w:val="clear" w:color="auto" w:fill="FF0000"/>
          </w:tcPr>
          <w:p w:rsidR="00F07D05" w:rsidRPr="00A6411D" w:rsidRDefault="00F07D05" w:rsidP="00596BE2">
            <w:pPr>
              <w:spacing w:line="276" w:lineRule="auto"/>
              <w:jc w:val="both"/>
              <w:rPr>
                <w:rFonts w:ascii="Times New Roman" w:hAnsi="Times New Roman" w:cs="Times New Roman"/>
                <w:b/>
              </w:rPr>
            </w:pPr>
            <w:r w:rsidRPr="00A6411D">
              <w:rPr>
                <w:rFonts w:ascii="Times New Roman" w:hAnsi="Times New Roman" w:cs="Times New Roman"/>
                <w:b/>
              </w:rPr>
              <w:t>Nuk përmbushet</w:t>
            </w:r>
          </w:p>
        </w:tc>
        <w:tc>
          <w:tcPr>
            <w:tcW w:w="1443" w:type="dxa"/>
            <w:shd w:val="clear" w:color="auto" w:fill="FF6600"/>
          </w:tcPr>
          <w:p w:rsidR="00F07D05" w:rsidRPr="00A6411D" w:rsidRDefault="00F07D05" w:rsidP="00596BE2">
            <w:pPr>
              <w:spacing w:line="276" w:lineRule="auto"/>
              <w:jc w:val="both"/>
              <w:rPr>
                <w:rFonts w:ascii="Times New Roman" w:hAnsi="Times New Roman" w:cs="Times New Roman"/>
                <w:b/>
              </w:rPr>
            </w:pPr>
            <w:r w:rsidRPr="00A6411D">
              <w:rPr>
                <w:rFonts w:ascii="Times New Roman" w:hAnsi="Times New Roman" w:cs="Times New Roman"/>
                <w:b/>
              </w:rPr>
              <w:t>Përmbushet pjesërisht</w:t>
            </w:r>
          </w:p>
        </w:tc>
        <w:tc>
          <w:tcPr>
            <w:tcW w:w="1710" w:type="dxa"/>
            <w:shd w:val="clear" w:color="auto" w:fill="CCCC00"/>
          </w:tcPr>
          <w:p w:rsidR="00F07D05" w:rsidRPr="00A6411D" w:rsidRDefault="00F07D05" w:rsidP="00596BE2">
            <w:pPr>
              <w:spacing w:line="276" w:lineRule="auto"/>
              <w:jc w:val="both"/>
              <w:rPr>
                <w:rFonts w:ascii="Times New Roman" w:hAnsi="Times New Roman" w:cs="Times New Roman"/>
                <w:b/>
              </w:rPr>
            </w:pPr>
            <w:r w:rsidRPr="00A6411D">
              <w:rPr>
                <w:rFonts w:ascii="Times New Roman" w:hAnsi="Times New Roman" w:cs="Times New Roman"/>
                <w:b/>
              </w:rPr>
              <w:t>Përmbushet krye</w:t>
            </w:r>
            <w:r w:rsidRPr="00A6411D">
              <w:rPr>
                <w:rFonts w:ascii="Times New Roman" w:hAnsi="Times New Roman" w:cs="Times New Roman"/>
                <w:b/>
                <w:shd w:val="clear" w:color="auto" w:fill="CCCC00"/>
              </w:rPr>
              <w:t>s</w:t>
            </w:r>
            <w:r w:rsidRPr="00A6411D">
              <w:rPr>
                <w:rFonts w:ascii="Times New Roman" w:hAnsi="Times New Roman" w:cs="Times New Roman"/>
                <w:b/>
              </w:rPr>
              <w:t>isht</w:t>
            </w:r>
          </w:p>
        </w:tc>
        <w:tc>
          <w:tcPr>
            <w:tcW w:w="1889" w:type="dxa"/>
            <w:shd w:val="clear" w:color="auto" w:fill="92D050"/>
          </w:tcPr>
          <w:p w:rsidR="00F07D05" w:rsidRPr="00A6411D" w:rsidRDefault="00F07D05" w:rsidP="00596BE2">
            <w:pPr>
              <w:spacing w:line="276" w:lineRule="auto"/>
              <w:jc w:val="both"/>
              <w:rPr>
                <w:rFonts w:ascii="Times New Roman" w:hAnsi="Times New Roman" w:cs="Times New Roman"/>
                <w:b/>
              </w:rPr>
            </w:pPr>
            <w:r w:rsidRPr="00A6411D">
              <w:rPr>
                <w:rFonts w:ascii="Times New Roman" w:hAnsi="Times New Roman" w:cs="Times New Roman"/>
                <w:b/>
              </w:rPr>
              <w:t>Përmbushet plotësisht</w:t>
            </w:r>
          </w:p>
        </w:tc>
      </w:tr>
      <w:tr w:rsidR="00F07D05" w:rsidRPr="00A6411D" w:rsidTr="00036E0D">
        <w:trPr>
          <w:trHeight w:val="315"/>
        </w:trPr>
        <w:tc>
          <w:tcPr>
            <w:tcW w:w="3058" w:type="dxa"/>
            <w:vMerge/>
            <w:shd w:val="clear" w:color="auto" w:fill="F7CAAC" w:themeFill="accent2" w:themeFillTint="66"/>
          </w:tcPr>
          <w:p w:rsidR="00F07D05" w:rsidRPr="00A6411D" w:rsidRDefault="00F07D05" w:rsidP="00596BE2">
            <w:pPr>
              <w:spacing w:line="276" w:lineRule="auto"/>
              <w:rPr>
                <w:rFonts w:ascii="Times New Roman" w:hAnsi="Times New Roman" w:cs="Times New Roman"/>
                <w:b/>
              </w:rPr>
            </w:pPr>
          </w:p>
        </w:tc>
        <w:tc>
          <w:tcPr>
            <w:tcW w:w="1620" w:type="dxa"/>
          </w:tcPr>
          <w:p w:rsidR="00F07D05" w:rsidRPr="00A6411D" w:rsidRDefault="00F07D05" w:rsidP="00596BE2">
            <w:pPr>
              <w:spacing w:line="276" w:lineRule="auto"/>
              <w:jc w:val="both"/>
              <w:rPr>
                <w:rFonts w:ascii="Times New Roman" w:hAnsi="Times New Roman" w:cs="Times New Roman"/>
                <w:b/>
              </w:rPr>
            </w:pPr>
          </w:p>
        </w:tc>
        <w:tc>
          <w:tcPr>
            <w:tcW w:w="1443" w:type="dxa"/>
          </w:tcPr>
          <w:p w:rsidR="00F07D05" w:rsidRPr="00A6411D" w:rsidRDefault="00F07D05" w:rsidP="00596BE2">
            <w:pPr>
              <w:spacing w:line="276" w:lineRule="auto"/>
              <w:jc w:val="both"/>
              <w:rPr>
                <w:rFonts w:ascii="Times New Roman" w:hAnsi="Times New Roman" w:cs="Times New Roman"/>
                <w:b/>
              </w:rPr>
            </w:pPr>
          </w:p>
        </w:tc>
        <w:tc>
          <w:tcPr>
            <w:tcW w:w="1710" w:type="dxa"/>
          </w:tcPr>
          <w:p w:rsidR="00F07D05" w:rsidRPr="00A6411D" w:rsidRDefault="00F07D05" w:rsidP="00596BE2">
            <w:pPr>
              <w:spacing w:line="276" w:lineRule="auto"/>
              <w:jc w:val="both"/>
              <w:rPr>
                <w:rFonts w:ascii="Times New Roman" w:hAnsi="Times New Roman" w:cs="Times New Roman"/>
                <w:b/>
              </w:rPr>
            </w:pPr>
          </w:p>
        </w:tc>
        <w:tc>
          <w:tcPr>
            <w:tcW w:w="1889" w:type="dxa"/>
          </w:tcPr>
          <w:p w:rsidR="00F07D05" w:rsidRPr="00A6411D" w:rsidRDefault="00F07D05" w:rsidP="00596BE2">
            <w:pPr>
              <w:spacing w:line="276" w:lineRule="auto"/>
              <w:jc w:val="both"/>
              <w:rPr>
                <w:rFonts w:ascii="Times New Roman" w:hAnsi="Times New Roman" w:cs="Times New Roman"/>
                <w:b/>
              </w:rPr>
            </w:pPr>
          </w:p>
        </w:tc>
      </w:tr>
    </w:tbl>
    <w:p w:rsidR="00750732" w:rsidRDefault="00750732"/>
    <w:tbl>
      <w:tblPr>
        <w:tblStyle w:val="TableGrid"/>
        <w:tblW w:w="9720" w:type="dxa"/>
        <w:tblInd w:w="-185" w:type="dxa"/>
        <w:tblLook w:val="04A0" w:firstRow="1" w:lastRow="0" w:firstColumn="1" w:lastColumn="0" w:noHBand="0" w:noVBand="1"/>
      </w:tblPr>
      <w:tblGrid>
        <w:gridCol w:w="3058"/>
        <w:gridCol w:w="1620"/>
        <w:gridCol w:w="1443"/>
        <w:gridCol w:w="1710"/>
        <w:gridCol w:w="1889"/>
      </w:tblGrid>
      <w:tr w:rsidR="00750732" w:rsidRPr="00A6411D" w:rsidTr="00596BE2">
        <w:tc>
          <w:tcPr>
            <w:tcW w:w="9720" w:type="dxa"/>
            <w:gridSpan w:val="5"/>
            <w:shd w:val="clear" w:color="auto" w:fill="F7CAAC" w:themeFill="accent2" w:themeFillTint="66"/>
          </w:tcPr>
          <w:p w:rsidR="00750732" w:rsidRPr="00A6411D" w:rsidRDefault="00750732" w:rsidP="00596BE2">
            <w:pPr>
              <w:spacing w:line="276" w:lineRule="auto"/>
              <w:jc w:val="both"/>
              <w:rPr>
                <w:rFonts w:ascii="Times New Roman" w:eastAsia="Times New Roman" w:hAnsi="Times New Roman" w:cs="Times New Roman"/>
                <w:b/>
                <w:bCs/>
                <w:lang w:val="sq-AL"/>
              </w:rPr>
            </w:pPr>
            <w:r>
              <w:rPr>
                <w:rFonts w:ascii="Times New Roman" w:eastAsia="Times New Roman" w:hAnsi="Times New Roman" w:cs="Times New Roman"/>
                <w:b/>
                <w:bCs/>
                <w:lang w:val="sq-AL"/>
              </w:rPr>
              <w:t>Standardi II.11</w:t>
            </w:r>
            <w:r w:rsidRPr="00A6411D">
              <w:rPr>
                <w:rFonts w:ascii="Times New Roman" w:eastAsia="Times New Roman" w:hAnsi="Times New Roman" w:cs="Times New Roman"/>
                <w:b/>
                <w:bCs/>
                <w:lang w:val="sq-AL"/>
              </w:rPr>
              <w:tab/>
            </w:r>
          </w:p>
          <w:p w:rsidR="00750732" w:rsidRPr="00A6411D" w:rsidRDefault="00750732" w:rsidP="00596BE2">
            <w:pPr>
              <w:spacing w:line="276" w:lineRule="auto"/>
              <w:jc w:val="both"/>
              <w:rPr>
                <w:rFonts w:ascii="Times New Roman" w:hAnsi="Times New Roman" w:cs="Times New Roman"/>
                <w:b/>
              </w:rPr>
            </w:pPr>
            <w:r w:rsidRPr="00750732">
              <w:rPr>
                <w:rFonts w:ascii="Times New Roman" w:eastAsia="Times New Roman" w:hAnsi="Times New Roman" w:cs="Times New Roman"/>
                <w:b/>
                <w:bCs/>
                <w:lang w:val="sq-AL"/>
              </w:rPr>
              <w:t>Njësia kryesore përgjegjëse për programin e specializimit administron të gjithë dokumentacionin e nevojshëm për çdo specializant nga aplikimi, pranimi deri përfundim të studimeve</w:t>
            </w:r>
            <w:r>
              <w:rPr>
                <w:rFonts w:ascii="Times New Roman" w:eastAsia="Times New Roman" w:hAnsi="Times New Roman" w:cs="Times New Roman"/>
                <w:b/>
                <w:bCs/>
                <w:lang w:val="sq-AL"/>
              </w:rPr>
              <w:t>.</w:t>
            </w:r>
          </w:p>
        </w:tc>
      </w:tr>
      <w:tr w:rsidR="00750732" w:rsidRPr="00A6411D" w:rsidTr="0043272C">
        <w:trPr>
          <w:trHeight w:val="368"/>
        </w:trPr>
        <w:tc>
          <w:tcPr>
            <w:tcW w:w="3058" w:type="dxa"/>
            <w:shd w:val="clear" w:color="auto" w:fill="C5E0B3" w:themeFill="accent6" w:themeFillTint="66"/>
          </w:tcPr>
          <w:p w:rsidR="00750732" w:rsidRPr="00A6411D" w:rsidRDefault="00750732" w:rsidP="00596BE2">
            <w:pPr>
              <w:spacing w:line="276" w:lineRule="auto"/>
              <w:jc w:val="both"/>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Kriteret</w:t>
            </w:r>
          </w:p>
        </w:tc>
        <w:tc>
          <w:tcPr>
            <w:tcW w:w="6662" w:type="dxa"/>
            <w:gridSpan w:val="4"/>
            <w:shd w:val="clear" w:color="auto" w:fill="C5E0B3" w:themeFill="accent6" w:themeFillTint="66"/>
          </w:tcPr>
          <w:p w:rsidR="00750732" w:rsidRPr="00A6411D" w:rsidRDefault="00750732" w:rsidP="0043272C">
            <w:pPr>
              <w:spacing w:line="276" w:lineRule="auto"/>
              <w:jc w:val="center"/>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Vlerësimi i ekspertëve</w:t>
            </w:r>
          </w:p>
        </w:tc>
      </w:tr>
      <w:tr w:rsidR="00750732" w:rsidRPr="00A6411D" w:rsidTr="00596BE2">
        <w:tc>
          <w:tcPr>
            <w:tcW w:w="3058" w:type="dxa"/>
          </w:tcPr>
          <w:p w:rsidR="00750732" w:rsidRPr="00750732" w:rsidRDefault="00750732" w:rsidP="0043272C">
            <w:pPr>
              <w:spacing w:line="276" w:lineRule="auto"/>
              <w:rPr>
                <w:rFonts w:ascii="Times New Roman" w:hAnsi="Times New Roman" w:cs="Times New Roman"/>
                <w:sz w:val="20"/>
                <w:szCs w:val="20"/>
              </w:rPr>
            </w:pPr>
            <w:r w:rsidRPr="00750732">
              <w:rPr>
                <w:rFonts w:ascii="Times New Roman" w:hAnsi="Times New Roman" w:cs="Times New Roman"/>
                <w:b/>
                <w:sz w:val="20"/>
                <w:szCs w:val="20"/>
              </w:rPr>
              <w:t>Kriteri 1:</w:t>
            </w:r>
            <w:r w:rsidRPr="00750732">
              <w:rPr>
                <w:rFonts w:ascii="Times New Roman" w:hAnsi="Times New Roman" w:cs="Times New Roman"/>
                <w:sz w:val="20"/>
                <w:szCs w:val="20"/>
              </w:rPr>
              <w:t xml:space="preserve"> Njësia kryesore mban në formë elektronike dhe në letër të gjithë dokumentacionin e ap</w:t>
            </w:r>
            <w:r w:rsidR="0043272C">
              <w:rPr>
                <w:rFonts w:ascii="Times New Roman" w:hAnsi="Times New Roman" w:cs="Times New Roman"/>
                <w:sz w:val="20"/>
                <w:szCs w:val="20"/>
              </w:rPr>
              <w:t>likantëve në fazën e aplikimit.</w:t>
            </w:r>
          </w:p>
        </w:tc>
        <w:tc>
          <w:tcPr>
            <w:tcW w:w="6662" w:type="dxa"/>
            <w:gridSpan w:val="4"/>
          </w:tcPr>
          <w:p w:rsidR="00750732" w:rsidRPr="00A6411D" w:rsidRDefault="00750732" w:rsidP="00596BE2">
            <w:pPr>
              <w:spacing w:line="276" w:lineRule="auto"/>
              <w:jc w:val="both"/>
              <w:rPr>
                <w:rFonts w:ascii="Times New Roman" w:hAnsi="Times New Roman" w:cs="Times New Roman"/>
                <w:b/>
              </w:rPr>
            </w:pPr>
          </w:p>
        </w:tc>
      </w:tr>
      <w:tr w:rsidR="00750732" w:rsidRPr="00A6411D" w:rsidTr="00596BE2">
        <w:tc>
          <w:tcPr>
            <w:tcW w:w="3058" w:type="dxa"/>
          </w:tcPr>
          <w:p w:rsidR="00750732" w:rsidRPr="00750732" w:rsidRDefault="00750732" w:rsidP="0043272C">
            <w:pPr>
              <w:spacing w:line="276" w:lineRule="auto"/>
              <w:rPr>
                <w:rFonts w:ascii="Times New Roman" w:hAnsi="Times New Roman" w:cs="Times New Roman"/>
                <w:sz w:val="20"/>
                <w:szCs w:val="20"/>
              </w:rPr>
            </w:pPr>
            <w:r w:rsidRPr="00750732">
              <w:rPr>
                <w:rFonts w:ascii="Times New Roman" w:hAnsi="Times New Roman" w:cs="Times New Roman"/>
                <w:b/>
                <w:sz w:val="20"/>
                <w:szCs w:val="20"/>
              </w:rPr>
              <w:t>Kriteri 2:</w:t>
            </w:r>
            <w:r w:rsidRPr="00750732">
              <w:rPr>
                <w:rFonts w:ascii="Times New Roman" w:hAnsi="Times New Roman" w:cs="Times New Roman"/>
                <w:sz w:val="20"/>
                <w:szCs w:val="20"/>
              </w:rPr>
              <w:t xml:space="preserve"> Njësia kryesore mban në formë elektronike dhe në letër të gjithë dokumentacionin e procesit të përzgjedhjes dhe vendimmarrjes të kandidatëve aplikantë dhe fitues dhe garanton transparencë në vendim</w:t>
            </w:r>
            <w:r w:rsidR="0043272C">
              <w:rPr>
                <w:rFonts w:ascii="Times New Roman" w:hAnsi="Times New Roman" w:cs="Times New Roman"/>
                <w:sz w:val="20"/>
                <w:szCs w:val="20"/>
              </w:rPr>
              <w:t xml:space="preserve">marrje e proceset e ankimimit. </w:t>
            </w:r>
          </w:p>
        </w:tc>
        <w:tc>
          <w:tcPr>
            <w:tcW w:w="6662" w:type="dxa"/>
            <w:gridSpan w:val="4"/>
          </w:tcPr>
          <w:p w:rsidR="00750732" w:rsidRPr="00A6411D" w:rsidRDefault="00750732" w:rsidP="00596BE2">
            <w:pPr>
              <w:spacing w:line="276" w:lineRule="auto"/>
              <w:jc w:val="both"/>
              <w:rPr>
                <w:rFonts w:ascii="Times New Roman" w:hAnsi="Times New Roman" w:cs="Times New Roman"/>
                <w:b/>
              </w:rPr>
            </w:pPr>
          </w:p>
        </w:tc>
      </w:tr>
      <w:tr w:rsidR="00750732" w:rsidRPr="00A6411D" w:rsidTr="00596BE2">
        <w:tc>
          <w:tcPr>
            <w:tcW w:w="3058" w:type="dxa"/>
          </w:tcPr>
          <w:p w:rsidR="00750732" w:rsidRPr="00750732" w:rsidRDefault="00750732" w:rsidP="0043272C">
            <w:pPr>
              <w:spacing w:line="276" w:lineRule="auto"/>
              <w:rPr>
                <w:rFonts w:ascii="Times New Roman" w:hAnsi="Times New Roman" w:cs="Times New Roman"/>
                <w:sz w:val="20"/>
                <w:szCs w:val="20"/>
              </w:rPr>
            </w:pPr>
            <w:r w:rsidRPr="00750732">
              <w:rPr>
                <w:rFonts w:ascii="Times New Roman" w:hAnsi="Times New Roman" w:cs="Times New Roman"/>
                <w:b/>
                <w:sz w:val="20"/>
                <w:szCs w:val="20"/>
              </w:rPr>
              <w:t>Kriteri 3:</w:t>
            </w:r>
            <w:r w:rsidRPr="00750732">
              <w:rPr>
                <w:rFonts w:ascii="Times New Roman" w:hAnsi="Times New Roman" w:cs="Times New Roman"/>
                <w:sz w:val="20"/>
                <w:szCs w:val="20"/>
              </w:rPr>
              <w:t xml:space="preserve"> Njësia kryesore mban në formë elektronike dhe në letër të dhënat e çdo specializanti në lidhje me veprimtaritë akademike dhe kërkimore eksperimentale gjatë gj</w:t>
            </w:r>
            <w:r w:rsidR="0043272C">
              <w:rPr>
                <w:rFonts w:ascii="Times New Roman" w:hAnsi="Times New Roman" w:cs="Times New Roman"/>
                <w:sz w:val="20"/>
                <w:szCs w:val="20"/>
              </w:rPr>
              <w:t>ithë kohëzgjatjes së studimeve.</w:t>
            </w:r>
          </w:p>
        </w:tc>
        <w:tc>
          <w:tcPr>
            <w:tcW w:w="6662" w:type="dxa"/>
            <w:gridSpan w:val="4"/>
          </w:tcPr>
          <w:p w:rsidR="00750732" w:rsidRPr="00A6411D" w:rsidRDefault="00750732" w:rsidP="00596BE2">
            <w:pPr>
              <w:spacing w:line="276" w:lineRule="auto"/>
              <w:jc w:val="both"/>
              <w:rPr>
                <w:rFonts w:ascii="Times New Roman" w:hAnsi="Times New Roman" w:cs="Times New Roman"/>
                <w:b/>
              </w:rPr>
            </w:pPr>
          </w:p>
        </w:tc>
      </w:tr>
      <w:tr w:rsidR="00750732" w:rsidRPr="00A6411D" w:rsidTr="00596BE2">
        <w:tc>
          <w:tcPr>
            <w:tcW w:w="3058" w:type="dxa"/>
          </w:tcPr>
          <w:p w:rsidR="00750732" w:rsidRPr="00750732" w:rsidRDefault="00750732" w:rsidP="00750732">
            <w:pPr>
              <w:spacing w:line="276" w:lineRule="auto"/>
              <w:rPr>
                <w:rFonts w:ascii="Times New Roman" w:hAnsi="Times New Roman" w:cs="Times New Roman"/>
                <w:sz w:val="20"/>
                <w:szCs w:val="20"/>
              </w:rPr>
            </w:pPr>
            <w:r w:rsidRPr="00750732">
              <w:rPr>
                <w:rFonts w:ascii="Times New Roman" w:hAnsi="Times New Roman" w:cs="Times New Roman"/>
                <w:b/>
                <w:sz w:val="20"/>
                <w:szCs w:val="20"/>
              </w:rPr>
              <w:lastRenderedPageBreak/>
              <w:t>Kriteri 4:</w:t>
            </w:r>
            <w:r w:rsidRPr="00750732">
              <w:rPr>
                <w:rFonts w:ascii="Times New Roman" w:hAnsi="Times New Roman" w:cs="Times New Roman"/>
                <w:sz w:val="20"/>
                <w:szCs w:val="20"/>
              </w:rPr>
              <w:t xml:space="preserve"> Njësia kryesore mban në formë elektronike dhe në letër raportimet, komunikimet zyrtare, vlerësimet e lëndëve dhe </w:t>
            </w:r>
            <w:r w:rsidR="0043272C">
              <w:rPr>
                <w:rFonts w:ascii="Times New Roman" w:hAnsi="Times New Roman" w:cs="Times New Roman"/>
                <w:sz w:val="20"/>
                <w:szCs w:val="20"/>
              </w:rPr>
              <w:t>të progresit të specializantit.</w:t>
            </w:r>
          </w:p>
        </w:tc>
        <w:tc>
          <w:tcPr>
            <w:tcW w:w="6662" w:type="dxa"/>
            <w:gridSpan w:val="4"/>
          </w:tcPr>
          <w:p w:rsidR="00750732" w:rsidRPr="00A6411D" w:rsidRDefault="00750732" w:rsidP="00596BE2">
            <w:pPr>
              <w:spacing w:line="276" w:lineRule="auto"/>
              <w:jc w:val="both"/>
              <w:rPr>
                <w:rFonts w:ascii="Times New Roman" w:hAnsi="Times New Roman" w:cs="Times New Roman"/>
                <w:b/>
              </w:rPr>
            </w:pPr>
          </w:p>
        </w:tc>
      </w:tr>
      <w:tr w:rsidR="00750732" w:rsidRPr="00A6411D" w:rsidTr="00596BE2">
        <w:tc>
          <w:tcPr>
            <w:tcW w:w="3058" w:type="dxa"/>
          </w:tcPr>
          <w:p w:rsidR="00750732" w:rsidRPr="00750732" w:rsidRDefault="00750732" w:rsidP="00750732">
            <w:pPr>
              <w:spacing w:line="276" w:lineRule="auto"/>
              <w:rPr>
                <w:rFonts w:ascii="Times New Roman" w:hAnsi="Times New Roman" w:cs="Times New Roman"/>
                <w:sz w:val="20"/>
                <w:szCs w:val="20"/>
              </w:rPr>
            </w:pPr>
            <w:r w:rsidRPr="00750732">
              <w:rPr>
                <w:rFonts w:ascii="Times New Roman" w:hAnsi="Times New Roman" w:cs="Times New Roman"/>
                <w:b/>
                <w:sz w:val="20"/>
                <w:szCs w:val="20"/>
              </w:rPr>
              <w:t>Kriteri 5:</w:t>
            </w:r>
            <w:r w:rsidRPr="00750732">
              <w:rPr>
                <w:rFonts w:ascii="Times New Roman" w:hAnsi="Times New Roman" w:cs="Times New Roman"/>
                <w:sz w:val="20"/>
                <w:szCs w:val="20"/>
              </w:rPr>
              <w:t xml:space="preserve"> Njësia kryesore ve në dispozicion të studentëve sistemin elektronik antiplagjiaturë si dhe mekanizma tjerë të vetëkontrollit për eliminimin e plagjiaturës dhe respektimin e të dre</w:t>
            </w:r>
            <w:r w:rsidR="0043272C">
              <w:rPr>
                <w:rFonts w:ascii="Times New Roman" w:hAnsi="Times New Roman" w:cs="Times New Roman"/>
                <w:sz w:val="20"/>
                <w:szCs w:val="20"/>
              </w:rPr>
              <w:t>jtës së pronësisë intelektuale.</w:t>
            </w:r>
          </w:p>
        </w:tc>
        <w:tc>
          <w:tcPr>
            <w:tcW w:w="6662" w:type="dxa"/>
            <w:gridSpan w:val="4"/>
          </w:tcPr>
          <w:p w:rsidR="00750732" w:rsidRPr="00A6411D" w:rsidRDefault="00750732" w:rsidP="00596BE2">
            <w:pPr>
              <w:spacing w:line="276" w:lineRule="auto"/>
              <w:jc w:val="both"/>
              <w:rPr>
                <w:rFonts w:ascii="Times New Roman" w:hAnsi="Times New Roman" w:cs="Times New Roman"/>
                <w:b/>
              </w:rPr>
            </w:pPr>
          </w:p>
        </w:tc>
      </w:tr>
      <w:tr w:rsidR="00750732" w:rsidRPr="00A6411D" w:rsidTr="00596BE2">
        <w:tc>
          <w:tcPr>
            <w:tcW w:w="3058" w:type="dxa"/>
          </w:tcPr>
          <w:p w:rsidR="00750732" w:rsidRPr="00750732" w:rsidRDefault="00750732" w:rsidP="00750732">
            <w:pPr>
              <w:spacing w:line="276" w:lineRule="auto"/>
              <w:rPr>
                <w:rFonts w:ascii="Times New Roman" w:hAnsi="Times New Roman" w:cs="Times New Roman"/>
                <w:sz w:val="20"/>
                <w:szCs w:val="20"/>
              </w:rPr>
            </w:pPr>
            <w:r w:rsidRPr="00750732">
              <w:rPr>
                <w:rFonts w:ascii="Times New Roman" w:hAnsi="Times New Roman" w:cs="Times New Roman"/>
                <w:b/>
                <w:sz w:val="20"/>
                <w:szCs w:val="20"/>
              </w:rPr>
              <w:t>Kriteri 6:</w:t>
            </w:r>
            <w:r w:rsidRPr="00750732">
              <w:rPr>
                <w:rFonts w:ascii="Times New Roman" w:hAnsi="Times New Roman" w:cs="Times New Roman"/>
                <w:sz w:val="20"/>
                <w:szCs w:val="20"/>
              </w:rPr>
              <w:t xml:space="preserve"> Njësia kryesore harton në mënyrë periodike raportime mbi ecurin</w:t>
            </w:r>
            <w:r w:rsidR="0043272C">
              <w:rPr>
                <w:rFonts w:ascii="Times New Roman" w:hAnsi="Times New Roman" w:cs="Times New Roman"/>
                <w:sz w:val="20"/>
                <w:szCs w:val="20"/>
              </w:rPr>
              <w:t>ë e programit të specializimit.</w:t>
            </w:r>
          </w:p>
        </w:tc>
        <w:tc>
          <w:tcPr>
            <w:tcW w:w="6662" w:type="dxa"/>
            <w:gridSpan w:val="4"/>
          </w:tcPr>
          <w:p w:rsidR="00750732" w:rsidRPr="00A6411D" w:rsidRDefault="00750732" w:rsidP="00596BE2">
            <w:pPr>
              <w:spacing w:line="276" w:lineRule="auto"/>
              <w:jc w:val="both"/>
              <w:rPr>
                <w:rFonts w:ascii="Times New Roman" w:hAnsi="Times New Roman" w:cs="Times New Roman"/>
                <w:b/>
              </w:rPr>
            </w:pPr>
          </w:p>
        </w:tc>
      </w:tr>
      <w:tr w:rsidR="00750732" w:rsidRPr="00A6411D" w:rsidTr="00596BE2">
        <w:trPr>
          <w:trHeight w:val="315"/>
        </w:trPr>
        <w:tc>
          <w:tcPr>
            <w:tcW w:w="3058" w:type="dxa"/>
            <w:vMerge w:val="restart"/>
            <w:shd w:val="clear" w:color="auto" w:fill="F7CAAC" w:themeFill="accent2" w:themeFillTint="66"/>
          </w:tcPr>
          <w:p w:rsidR="00750732" w:rsidRPr="00A6411D" w:rsidRDefault="00750732" w:rsidP="00596BE2">
            <w:pPr>
              <w:spacing w:line="276" w:lineRule="auto"/>
              <w:rPr>
                <w:rFonts w:ascii="Times New Roman" w:hAnsi="Times New Roman" w:cs="Times New Roman"/>
                <w:b/>
              </w:rPr>
            </w:pPr>
            <w:r w:rsidRPr="00A6411D">
              <w:rPr>
                <w:rFonts w:ascii="Times New Roman" w:hAnsi="Times New Roman" w:cs="Times New Roman"/>
                <w:b/>
              </w:rPr>
              <w:t>Shkalla e përmbushjes sëstandardit</w:t>
            </w:r>
          </w:p>
        </w:tc>
        <w:tc>
          <w:tcPr>
            <w:tcW w:w="1620" w:type="dxa"/>
            <w:shd w:val="clear" w:color="auto" w:fill="FF0000"/>
          </w:tcPr>
          <w:p w:rsidR="00750732" w:rsidRPr="00A6411D" w:rsidRDefault="00750732" w:rsidP="00596BE2">
            <w:pPr>
              <w:spacing w:line="276" w:lineRule="auto"/>
              <w:jc w:val="both"/>
              <w:rPr>
                <w:rFonts w:ascii="Times New Roman" w:hAnsi="Times New Roman" w:cs="Times New Roman"/>
                <w:b/>
              </w:rPr>
            </w:pPr>
            <w:r w:rsidRPr="00A6411D">
              <w:rPr>
                <w:rFonts w:ascii="Times New Roman" w:hAnsi="Times New Roman" w:cs="Times New Roman"/>
                <w:b/>
              </w:rPr>
              <w:t>Nuk përmbushet</w:t>
            </w:r>
          </w:p>
        </w:tc>
        <w:tc>
          <w:tcPr>
            <w:tcW w:w="1443" w:type="dxa"/>
            <w:shd w:val="clear" w:color="auto" w:fill="FF6600"/>
          </w:tcPr>
          <w:p w:rsidR="00750732" w:rsidRPr="00A6411D" w:rsidRDefault="00750732" w:rsidP="00596BE2">
            <w:pPr>
              <w:spacing w:line="276" w:lineRule="auto"/>
              <w:jc w:val="both"/>
              <w:rPr>
                <w:rFonts w:ascii="Times New Roman" w:hAnsi="Times New Roman" w:cs="Times New Roman"/>
                <w:b/>
              </w:rPr>
            </w:pPr>
            <w:r w:rsidRPr="00A6411D">
              <w:rPr>
                <w:rFonts w:ascii="Times New Roman" w:hAnsi="Times New Roman" w:cs="Times New Roman"/>
                <w:b/>
              </w:rPr>
              <w:t>Përmbushet pjesërisht</w:t>
            </w:r>
          </w:p>
        </w:tc>
        <w:tc>
          <w:tcPr>
            <w:tcW w:w="1710" w:type="dxa"/>
            <w:shd w:val="clear" w:color="auto" w:fill="CCCC00"/>
          </w:tcPr>
          <w:p w:rsidR="00750732" w:rsidRPr="00A6411D" w:rsidRDefault="00750732" w:rsidP="00596BE2">
            <w:pPr>
              <w:spacing w:line="276" w:lineRule="auto"/>
              <w:jc w:val="both"/>
              <w:rPr>
                <w:rFonts w:ascii="Times New Roman" w:hAnsi="Times New Roman" w:cs="Times New Roman"/>
                <w:b/>
              </w:rPr>
            </w:pPr>
            <w:r w:rsidRPr="00A6411D">
              <w:rPr>
                <w:rFonts w:ascii="Times New Roman" w:hAnsi="Times New Roman" w:cs="Times New Roman"/>
                <w:b/>
              </w:rPr>
              <w:t>Përmbushet krye</w:t>
            </w:r>
            <w:r w:rsidRPr="00A6411D">
              <w:rPr>
                <w:rFonts w:ascii="Times New Roman" w:hAnsi="Times New Roman" w:cs="Times New Roman"/>
                <w:b/>
                <w:shd w:val="clear" w:color="auto" w:fill="CCCC00"/>
              </w:rPr>
              <w:t>s</w:t>
            </w:r>
            <w:r w:rsidRPr="00A6411D">
              <w:rPr>
                <w:rFonts w:ascii="Times New Roman" w:hAnsi="Times New Roman" w:cs="Times New Roman"/>
                <w:b/>
              </w:rPr>
              <w:t>isht</w:t>
            </w:r>
          </w:p>
        </w:tc>
        <w:tc>
          <w:tcPr>
            <w:tcW w:w="1889" w:type="dxa"/>
            <w:shd w:val="clear" w:color="auto" w:fill="92D050"/>
          </w:tcPr>
          <w:p w:rsidR="00750732" w:rsidRPr="00A6411D" w:rsidRDefault="00750732" w:rsidP="00596BE2">
            <w:pPr>
              <w:spacing w:line="276" w:lineRule="auto"/>
              <w:jc w:val="both"/>
              <w:rPr>
                <w:rFonts w:ascii="Times New Roman" w:hAnsi="Times New Roman" w:cs="Times New Roman"/>
                <w:b/>
              </w:rPr>
            </w:pPr>
            <w:r w:rsidRPr="00A6411D">
              <w:rPr>
                <w:rFonts w:ascii="Times New Roman" w:hAnsi="Times New Roman" w:cs="Times New Roman"/>
                <w:b/>
              </w:rPr>
              <w:t>Përmbushet plotësisht</w:t>
            </w:r>
          </w:p>
        </w:tc>
      </w:tr>
      <w:tr w:rsidR="00750732" w:rsidRPr="00A6411D" w:rsidTr="00596BE2">
        <w:trPr>
          <w:trHeight w:val="315"/>
        </w:trPr>
        <w:tc>
          <w:tcPr>
            <w:tcW w:w="3058" w:type="dxa"/>
            <w:vMerge/>
            <w:shd w:val="clear" w:color="auto" w:fill="F7CAAC" w:themeFill="accent2" w:themeFillTint="66"/>
          </w:tcPr>
          <w:p w:rsidR="00750732" w:rsidRPr="00A6411D" w:rsidRDefault="00750732" w:rsidP="00596BE2">
            <w:pPr>
              <w:spacing w:line="276" w:lineRule="auto"/>
              <w:rPr>
                <w:rFonts w:ascii="Times New Roman" w:hAnsi="Times New Roman" w:cs="Times New Roman"/>
                <w:b/>
              </w:rPr>
            </w:pPr>
          </w:p>
        </w:tc>
        <w:tc>
          <w:tcPr>
            <w:tcW w:w="1620" w:type="dxa"/>
          </w:tcPr>
          <w:p w:rsidR="00750732" w:rsidRPr="00A6411D" w:rsidRDefault="00750732" w:rsidP="00596BE2">
            <w:pPr>
              <w:spacing w:line="276" w:lineRule="auto"/>
              <w:jc w:val="both"/>
              <w:rPr>
                <w:rFonts w:ascii="Times New Roman" w:hAnsi="Times New Roman" w:cs="Times New Roman"/>
                <w:b/>
              </w:rPr>
            </w:pPr>
          </w:p>
        </w:tc>
        <w:tc>
          <w:tcPr>
            <w:tcW w:w="1443" w:type="dxa"/>
          </w:tcPr>
          <w:p w:rsidR="00750732" w:rsidRPr="00A6411D" w:rsidRDefault="00750732" w:rsidP="00596BE2">
            <w:pPr>
              <w:spacing w:line="276" w:lineRule="auto"/>
              <w:jc w:val="both"/>
              <w:rPr>
                <w:rFonts w:ascii="Times New Roman" w:hAnsi="Times New Roman" w:cs="Times New Roman"/>
                <w:b/>
              </w:rPr>
            </w:pPr>
          </w:p>
        </w:tc>
        <w:tc>
          <w:tcPr>
            <w:tcW w:w="1710" w:type="dxa"/>
          </w:tcPr>
          <w:p w:rsidR="00750732" w:rsidRPr="00A6411D" w:rsidRDefault="00750732" w:rsidP="00596BE2">
            <w:pPr>
              <w:spacing w:line="276" w:lineRule="auto"/>
              <w:jc w:val="both"/>
              <w:rPr>
                <w:rFonts w:ascii="Times New Roman" w:hAnsi="Times New Roman" w:cs="Times New Roman"/>
                <w:b/>
              </w:rPr>
            </w:pPr>
          </w:p>
        </w:tc>
        <w:tc>
          <w:tcPr>
            <w:tcW w:w="1889" w:type="dxa"/>
          </w:tcPr>
          <w:p w:rsidR="00750732" w:rsidRPr="00A6411D" w:rsidRDefault="00750732" w:rsidP="00596BE2">
            <w:pPr>
              <w:spacing w:line="276" w:lineRule="auto"/>
              <w:jc w:val="both"/>
              <w:rPr>
                <w:rFonts w:ascii="Times New Roman" w:hAnsi="Times New Roman" w:cs="Times New Roman"/>
                <w:b/>
              </w:rPr>
            </w:pPr>
          </w:p>
        </w:tc>
      </w:tr>
    </w:tbl>
    <w:p w:rsidR="007F3BC7" w:rsidRDefault="007F3BC7"/>
    <w:tbl>
      <w:tblPr>
        <w:tblStyle w:val="TableGrid"/>
        <w:tblW w:w="9720" w:type="dxa"/>
        <w:tblInd w:w="-185" w:type="dxa"/>
        <w:tblLook w:val="04A0" w:firstRow="1" w:lastRow="0" w:firstColumn="1" w:lastColumn="0" w:noHBand="0" w:noVBand="1"/>
      </w:tblPr>
      <w:tblGrid>
        <w:gridCol w:w="3081"/>
        <w:gridCol w:w="1507"/>
        <w:gridCol w:w="1533"/>
        <w:gridCol w:w="1710"/>
        <w:gridCol w:w="1889"/>
      </w:tblGrid>
      <w:tr w:rsidR="00C1352C" w:rsidRPr="00A6411D" w:rsidTr="00036E0D">
        <w:trPr>
          <w:trHeight w:val="315"/>
        </w:trPr>
        <w:tc>
          <w:tcPr>
            <w:tcW w:w="3081" w:type="dxa"/>
            <w:vMerge w:val="restart"/>
          </w:tcPr>
          <w:p w:rsidR="00C1352C" w:rsidRPr="00A6411D" w:rsidRDefault="00C1352C" w:rsidP="00243BA4">
            <w:pPr>
              <w:spacing w:line="276" w:lineRule="auto"/>
              <w:rPr>
                <w:rFonts w:ascii="Times New Roman" w:hAnsi="Times New Roman" w:cs="Times New Roman"/>
                <w:b/>
              </w:rPr>
            </w:pPr>
            <w:r w:rsidRPr="00A6411D">
              <w:rPr>
                <w:rFonts w:ascii="Times New Roman" w:hAnsi="Times New Roman" w:cs="Times New Roman"/>
                <w:b/>
              </w:rPr>
              <w:t>Shkalla e përmbushjes së standardeve të fushës II</w:t>
            </w:r>
          </w:p>
        </w:tc>
        <w:tc>
          <w:tcPr>
            <w:tcW w:w="1507" w:type="dxa"/>
            <w:shd w:val="clear" w:color="auto" w:fill="FF00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Nuk përmbushet</w:t>
            </w:r>
          </w:p>
        </w:tc>
        <w:tc>
          <w:tcPr>
            <w:tcW w:w="1533" w:type="dxa"/>
            <w:shd w:val="clear" w:color="auto" w:fill="FF66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pjesërisht</w:t>
            </w:r>
          </w:p>
        </w:tc>
        <w:tc>
          <w:tcPr>
            <w:tcW w:w="1710" w:type="dxa"/>
            <w:shd w:val="clear" w:color="auto" w:fill="CCCC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kryesisht</w:t>
            </w:r>
          </w:p>
        </w:tc>
        <w:tc>
          <w:tcPr>
            <w:tcW w:w="1889" w:type="dxa"/>
            <w:shd w:val="clear" w:color="auto" w:fill="92D05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plotësisht</w:t>
            </w:r>
          </w:p>
        </w:tc>
      </w:tr>
      <w:tr w:rsidR="00C1352C" w:rsidRPr="00A6411D" w:rsidTr="00036E0D">
        <w:trPr>
          <w:trHeight w:val="315"/>
        </w:trPr>
        <w:tc>
          <w:tcPr>
            <w:tcW w:w="3081" w:type="dxa"/>
            <w:vMerge/>
          </w:tcPr>
          <w:p w:rsidR="00C1352C" w:rsidRPr="00A6411D" w:rsidRDefault="00C1352C" w:rsidP="00243BA4">
            <w:pPr>
              <w:spacing w:line="276" w:lineRule="auto"/>
              <w:rPr>
                <w:rFonts w:ascii="Times New Roman" w:hAnsi="Times New Roman" w:cs="Times New Roman"/>
                <w:b/>
              </w:rPr>
            </w:pPr>
          </w:p>
        </w:tc>
        <w:tc>
          <w:tcPr>
            <w:tcW w:w="1507" w:type="dxa"/>
          </w:tcPr>
          <w:p w:rsidR="00C1352C" w:rsidRPr="00A6411D" w:rsidRDefault="00C1352C" w:rsidP="00243BA4">
            <w:pPr>
              <w:spacing w:line="276" w:lineRule="auto"/>
              <w:jc w:val="both"/>
              <w:rPr>
                <w:rFonts w:ascii="Times New Roman" w:hAnsi="Times New Roman" w:cs="Times New Roman"/>
                <w:b/>
              </w:rPr>
            </w:pPr>
          </w:p>
        </w:tc>
        <w:tc>
          <w:tcPr>
            <w:tcW w:w="1533" w:type="dxa"/>
          </w:tcPr>
          <w:p w:rsidR="00C1352C" w:rsidRPr="00A6411D" w:rsidRDefault="00C1352C" w:rsidP="00243BA4">
            <w:pPr>
              <w:spacing w:line="276" w:lineRule="auto"/>
              <w:jc w:val="both"/>
              <w:rPr>
                <w:rFonts w:ascii="Times New Roman" w:hAnsi="Times New Roman" w:cs="Times New Roman"/>
                <w:b/>
              </w:rPr>
            </w:pPr>
          </w:p>
        </w:tc>
        <w:tc>
          <w:tcPr>
            <w:tcW w:w="1710" w:type="dxa"/>
          </w:tcPr>
          <w:p w:rsidR="00C1352C" w:rsidRPr="00A6411D" w:rsidRDefault="00C1352C" w:rsidP="00243BA4">
            <w:pPr>
              <w:spacing w:line="276" w:lineRule="auto"/>
              <w:jc w:val="both"/>
              <w:rPr>
                <w:rFonts w:ascii="Times New Roman" w:hAnsi="Times New Roman" w:cs="Times New Roman"/>
                <w:b/>
              </w:rPr>
            </w:pPr>
          </w:p>
        </w:tc>
        <w:tc>
          <w:tcPr>
            <w:tcW w:w="1889" w:type="dxa"/>
          </w:tcPr>
          <w:p w:rsidR="00C1352C" w:rsidRPr="00A6411D" w:rsidRDefault="00C1352C" w:rsidP="00243BA4">
            <w:pPr>
              <w:spacing w:line="276" w:lineRule="auto"/>
              <w:jc w:val="both"/>
              <w:rPr>
                <w:rFonts w:ascii="Times New Roman" w:hAnsi="Times New Roman" w:cs="Times New Roman"/>
                <w:b/>
              </w:rPr>
            </w:pPr>
          </w:p>
        </w:tc>
      </w:tr>
    </w:tbl>
    <w:p w:rsidR="00C1352C" w:rsidRDefault="00C1352C" w:rsidP="00C1352C">
      <w:pPr>
        <w:rPr>
          <w:rFonts w:ascii="Times New Roman" w:hAnsi="Times New Roman" w:cs="Times New Roman"/>
          <w:b/>
          <w:sz w:val="28"/>
          <w:szCs w:val="28"/>
        </w:rPr>
      </w:pPr>
    </w:p>
    <w:p w:rsidR="0043272C" w:rsidRDefault="0043272C" w:rsidP="00C1352C">
      <w:pPr>
        <w:rPr>
          <w:rFonts w:ascii="Times New Roman" w:hAnsi="Times New Roman" w:cs="Times New Roman"/>
          <w:b/>
          <w:sz w:val="28"/>
          <w:szCs w:val="28"/>
        </w:rPr>
      </w:pPr>
    </w:p>
    <w:p w:rsidR="0043272C" w:rsidRDefault="0043272C" w:rsidP="00C1352C">
      <w:pPr>
        <w:rPr>
          <w:rFonts w:ascii="Times New Roman" w:hAnsi="Times New Roman" w:cs="Times New Roman"/>
          <w:b/>
          <w:sz w:val="28"/>
          <w:szCs w:val="28"/>
        </w:rPr>
      </w:pPr>
    </w:p>
    <w:p w:rsidR="00C1352C" w:rsidRPr="00CE578C" w:rsidRDefault="00750732" w:rsidP="00C1352C">
      <w:pPr>
        <w:pStyle w:val="ListParagraph"/>
        <w:numPr>
          <w:ilvl w:val="0"/>
          <w:numId w:val="2"/>
        </w:numPr>
        <w:spacing w:line="276" w:lineRule="auto"/>
        <w:ind w:left="630" w:hanging="540"/>
        <w:jc w:val="both"/>
        <w:rPr>
          <w:rFonts w:ascii="Times New Roman" w:hAnsi="Times New Roman" w:cs="Times New Roman"/>
          <w:b/>
          <w:sz w:val="28"/>
          <w:szCs w:val="28"/>
        </w:rPr>
      </w:pPr>
      <w:r w:rsidRPr="00750732">
        <w:rPr>
          <w:rFonts w:ascii="Times New Roman" w:hAnsi="Times New Roman" w:cs="Times New Roman"/>
          <w:b/>
          <w:sz w:val="24"/>
          <w:szCs w:val="24"/>
          <w:lang w:val="sq-AL"/>
        </w:rPr>
        <w:t>BURIMET NË FUNKSION TË PROGRAMIT SPECIALIZIM AFATGJATË</w:t>
      </w:r>
    </w:p>
    <w:p w:rsidR="00C1352C" w:rsidRPr="00CE578C" w:rsidRDefault="00C1352C" w:rsidP="00C1352C">
      <w:pPr>
        <w:pStyle w:val="ListParagraph"/>
        <w:spacing w:line="276" w:lineRule="auto"/>
        <w:ind w:left="1080"/>
        <w:jc w:val="both"/>
        <w:rPr>
          <w:rFonts w:ascii="Times New Roman" w:hAnsi="Times New Roman" w:cs="Times New Roman"/>
          <w:b/>
          <w:sz w:val="28"/>
          <w:szCs w:val="28"/>
        </w:rPr>
      </w:pPr>
    </w:p>
    <w:tbl>
      <w:tblPr>
        <w:tblStyle w:val="TableGrid"/>
        <w:tblW w:w="9720" w:type="dxa"/>
        <w:tblInd w:w="-185" w:type="dxa"/>
        <w:tblLook w:val="04A0" w:firstRow="1" w:lastRow="0" w:firstColumn="1" w:lastColumn="0" w:noHBand="0" w:noVBand="1"/>
      </w:tblPr>
      <w:tblGrid>
        <w:gridCol w:w="3235"/>
        <w:gridCol w:w="1445"/>
        <w:gridCol w:w="1530"/>
        <w:gridCol w:w="1620"/>
        <w:gridCol w:w="1890"/>
      </w:tblGrid>
      <w:tr w:rsidR="00C1352C" w:rsidRPr="00500475" w:rsidTr="00BE7F06">
        <w:tc>
          <w:tcPr>
            <w:tcW w:w="9720" w:type="dxa"/>
            <w:gridSpan w:val="5"/>
            <w:shd w:val="clear" w:color="auto" w:fill="F7CAAC" w:themeFill="accent2" w:themeFillTint="66"/>
          </w:tcPr>
          <w:p w:rsidR="00C1352C" w:rsidRPr="00500475" w:rsidRDefault="00C1352C" w:rsidP="00243BA4">
            <w:pPr>
              <w:spacing w:line="276" w:lineRule="auto"/>
              <w:jc w:val="both"/>
              <w:rPr>
                <w:rFonts w:ascii="Times New Roman" w:hAnsi="Times New Roman" w:cs="Times New Roman"/>
                <w:b/>
                <w:lang w:val="sq-AL"/>
              </w:rPr>
            </w:pPr>
            <w:r w:rsidRPr="00500475">
              <w:rPr>
                <w:rFonts w:ascii="Times New Roman" w:hAnsi="Times New Roman" w:cs="Times New Roman"/>
                <w:b/>
                <w:lang w:val="sq-AL"/>
              </w:rPr>
              <w:t xml:space="preserve">Standardi III.1 </w:t>
            </w:r>
          </w:p>
          <w:p w:rsidR="00C1352C" w:rsidRPr="00500475" w:rsidRDefault="00AF79E3" w:rsidP="00301624">
            <w:pPr>
              <w:spacing w:line="276" w:lineRule="auto"/>
              <w:jc w:val="both"/>
              <w:rPr>
                <w:rFonts w:ascii="Times New Roman" w:hAnsi="Times New Roman" w:cs="Times New Roman"/>
                <w:b/>
                <w:lang w:val="sq-AL"/>
              </w:rPr>
            </w:pPr>
            <w:r w:rsidRPr="00AF79E3">
              <w:rPr>
                <w:rFonts w:ascii="Times New Roman" w:eastAsia="Times New Roman" w:hAnsi="Times New Roman" w:cs="Times New Roman"/>
                <w:b/>
                <w:bCs/>
                <w:lang w:val="sq-AL"/>
              </w:rPr>
              <w:t>Njësia përgjegjëse garanton personelin e nevojshëm akademik, administrativ dhe mbështetës për zhvillimin e programit dhe realizimin e objektivave të tij</w:t>
            </w:r>
            <w:r>
              <w:rPr>
                <w:rFonts w:ascii="Times New Roman" w:eastAsia="Times New Roman" w:hAnsi="Times New Roman" w:cs="Times New Roman"/>
                <w:b/>
                <w:bCs/>
                <w:lang w:val="sq-AL"/>
              </w:rPr>
              <w:t>.</w:t>
            </w:r>
          </w:p>
        </w:tc>
      </w:tr>
      <w:tr w:rsidR="00C1352C" w:rsidRPr="00500475" w:rsidTr="00BE7F06">
        <w:trPr>
          <w:trHeight w:val="350"/>
        </w:trPr>
        <w:tc>
          <w:tcPr>
            <w:tcW w:w="3235" w:type="dxa"/>
            <w:shd w:val="clear" w:color="auto" w:fill="C5E0B3" w:themeFill="accent6" w:themeFillTint="66"/>
          </w:tcPr>
          <w:p w:rsidR="00C1352C" w:rsidRPr="00500475" w:rsidRDefault="00C1352C" w:rsidP="00243BA4">
            <w:pPr>
              <w:spacing w:line="276" w:lineRule="auto"/>
              <w:jc w:val="both"/>
              <w:rPr>
                <w:rFonts w:ascii="Times New Roman" w:eastAsia="Times New Roman" w:hAnsi="Times New Roman" w:cs="Times New Roman"/>
                <w:b/>
                <w:bCs/>
                <w:lang w:val="sq-AL"/>
              </w:rPr>
            </w:pPr>
            <w:r w:rsidRPr="00500475">
              <w:rPr>
                <w:rFonts w:ascii="Times New Roman" w:eastAsia="Times New Roman" w:hAnsi="Times New Roman" w:cs="Times New Roman"/>
                <w:b/>
                <w:bCs/>
                <w:lang w:val="sq-AL"/>
              </w:rPr>
              <w:t>Kriteret</w:t>
            </w:r>
          </w:p>
        </w:tc>
        <w:tc>
          <w:tcPr>
            <w:tcW w:w="6485" w:type="dxa"/>
            <w:gridSpan w:val="4"/>
            <w:shd w:val="clear" w:color="auto" w:fill="C5E0B3" w:themeFill="accent6" w:themeFillTint="66"/>
          </w:tcPr>
          <w:p w:rsidR="00C1352C" w:rsidRPr="00500475" w:rsidRDefault="00C1352C" w:rsidP="004E47AC">
            <w:pPr>
              <w:spacing w:line="276" w:lineRule="auto"/>
              <w:jc w:val="center"/>
              <w:rPr>
                <w:rFonts w:ascii="Times New Roman" w:eastAsia="Times New Roman" w:hAnsi="Times New Roman" w:cs="Times New Roman"/>
                <w:b/>
                <w:bCs/>
                <w:lang w:val="sq-AL"/>
              </w:rPr>
            </w:pPr>
            <w:r w:rsidRPr="00500475">
              <w:rPr>
                <w:rFonts w:ascii="Times New Roman" w:eastAsia="Times New Roman" w:hAnsi="Times New Roman" w:cs="Times New Roman"/>
                <w:b/>
                <w:bCs/>
                <w:lang w:val="sq-AL"/>
              </w:rPr>
              <w:t>Vlerësimi i ekspertëve</w:t>
            </w:r>
          </w:p>
        </w:tc>
      </w:tr>
      <w:tr w:rsidR="00BA509A" w:rsidRPr="00500475" w:rsidTr="00BE7F06">
        <w:tc>
          <w:tcPr>
            <w:tcW w:w="3235" w:type="dxa"/>
          </w:tcPr>
          <w:p w:rsidR="00BA509A" w:rsidRPr="00A1240E" w:rsidRDefault="00AF79E3" w:rsidP="004E47AC">
            <w:pPr>
              <w:spacing w:line="276" w:lineRule="auto"/>
              <w:rPr>
                <w:rFonts w:ascii="Times New Roman" w:hAnsi="Times New Roman" w:cs="Times New Roman"/>
                <w:sz w:val="20"/>
                <w:szCs w:val="20"/>
              </w:rPr>
            </w:pPr>
            <w:r w:rsidRPr="00A1240E">
              <w:rPr>
                <w:rFonts w:ascii="Times New Roman" w:hAnsi="Times New Roman" w:cs="Times New Roman"/>
                <w:b/>
                <w:sz w:val="20"/>
                <w:szCs w:val="20"/>
              </w:rPr>
              <w:t>Kriteri 1:</w:t>
            </w:r>
            <w:r w:rsidRPr="00A1240E">
              <w:rPr>
                <w:rFonts w:ascii="Times New Roman" w:hAnsi="Times New Roman" w:cs="Times New Roman"/>
                <w:sz w:val="20"/>
                <w:szCs w:val="20"/>
              </w:rPr>
              <w:t xml:space="preserve"> Personeli akademik i angazhuar në programin e specializimit afatgjatë është i kategorisë profesor (profesor, profesor i asociuar), i kategorisë lektor (Dr/Phd), të cilët janë të angazhuar me punë klinike/diagnostikuese të paktën 10 vite </w:t>
            </w:r>
            <w:r w:rsidR="004E47AC">
              <w:rPr>
                <w:rFonts w:ascii="Times New Roman" w:hAnsi="Times New Roman" w:cs="Times New Roman"/>
                <w:sz w:val="20"/>
                <w:szCs w:val="20"/>
              </w:rPr>
              <w:t xml:space="preserve">eksperiencë. </w:t>
            </w:r>
          </w:p>
        </w:tc>
        <w:tc>
          <w:tcPr>
            <w:tcW w:w="6485"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BE7F06">
        <w:tc>
          <w:tcPr>
            <w:tcW w:w="3235" w:type="dxa"/>
          </w:tcPr>
          <w:p w:rsidR="00AF79E3" w:rsidRPr="00A1240E" w:rsidRDefault="00AF79E3" w:rsidP="00A1240E">
            <w:pPr>
              <w:spacing w:line="276" w:lineRule="auto"/>
              <w:rPr>
                <w:rFonts w:ascii="Times New Roman" w:hAnsi="Times New Roman" w:cs="Times New Roman"/>
                <w:sz w:val="20"/>
                <w:szCs w:val="20"/>
              </w:rPr>
            </w:pPr>
            <w:r w:rsidRPr="00A1240E">
              <w:rPr>
                <w:rFonts w:ascii="Times New Roman" w:hAnsi="Times New Roman" w:cs="Times New Roman"/>
                <w:b/>
                <w:sz w:val="20"/>
                <w:szCs w:val="20"/>
              </w:rPr>
              <w:t>Kriteri 2:</w:t>
            </w:r>
            <w:r w:rsidRPr="00A1240E">
              <w:rPr>
                <w:rFonts w:ascii="Times New Roman" w:hAnsi="Times New Roman" w:cs="Times New Roman"/>
                <w:sz w:val="20"/>
                <w:szCs w:val="20"/>
              </w:rPr>
              <w:t xml:space="preserve"> Në çdo program specializues përcaktohen:</w:t>
            </w:r>
          </w:p>
          <w:p w:rsidR="00BA509A" w:rsidRPr="00A1240E" w:rsidRDefault="00AF79E3" w:rsidP="004E47AC">
            <w:pPr>
              <w:spacing w:line="276" w:lineRule="auto"/>
              <w:rPr>
                <w:rFonts w:ascii="Times New Roman" w:hAnsi="Times New Roman" w:cs="Times New Roman"/>
                <w:sz w:val="20"/>
                <w:szCs w:val="20"/>
              </w:rPr>
            </w:pPr>
            <w:r w:rsidRPr="00A1240E">
              <w:rPr>
                <w:rFonts w:ascii="Times New Roman" w:hAnsi="Times New Roman" w:cs="Times New Roman"/>
                <w:sz w:val="20"/>
                <w:szCs w:val="20"/>
              </w:rPr>
              <w:t>Një figurë drejtuese, përgjegjësi/</w:t>
            </w:r>
            <w:r w:rsidR="00A1240E" w:rsidRPr="00A1240E">
              <w:rPr>
                <w:rFonts w:ascii="Times New Roman" w:hAnsi="Times New Roman" w:cs="Times New Roman"/>
                <w:sz w:val="20"/>
                <w:szCs w:val="20"/>
              </w:rPr>
              <w:t>drejtuesi i</w:t>
            </w:r>
            <w:r w:rsidRPr="00A1240E">
              <w:rPr>
                <w:rFonts w:ascii="Times New Roman" w:hAnsi="Times New Roman" w:cs="Times New Roman"/>
                <w:sz w:val="20"/>
                <w:szCs w:val="20"/>
              </w:rPr>
              <w:t xml:space="preserve"> programit të </w:t>
            </w:r>
            <w:r w:rsidRPr="00A1240E">
              <w:rPr>
                <w:rFonts w:ascii="Times New Roman" w:hAnsi="Times New Roman" w:cs="Times New Roman"/>
                <w:sz w:val="20"/>
                <w:szCs w:val="20"/>
              </w:rPr>
              <w:lastRenderedPageBreak/>
              <w:t>specializimit. Përgjegjësi/drejtuesi i programit të specializimit duhet te jete pedagog me kohe te plote ne fushën përkatëse, të ketë të paktën titullin “Profesor i asociuar” dhe jo me pak se 10 vjet përvojë në ushtrimin e profesionit. Kjo figure propozohet nga njësia baze përgjegjëse dhe miratohe</w:t>
            </w:r>
            <w:r w:rsidR="004E47AC">
              <w:rPr>
                <w:rFonts w:ascii="Times New Roman" w:hAnsi="Times New Roman" w:cs="Times New Roman"/>
                <w:sz w:val="20"/>
                <w:szCs w:val="20"/>
              </w:rPr>
              <w:t>t ne nivel te njësisë kryesore.</w:t>
            </w:r>
          </w:p>
        </w:tc>
        <w:tc>
          <w:tcPr>
            <w:tcW w:w="6485"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BE7F06">
        <w:tc>
          <w:tcPr>
            <w:tcW w:w="3235" w:type="dxa"/>
          </w:tcPr>
          <w:p w:rsidR="00AF79E3" w:rsidRPr="00A1240E" w:rsidRDefault="00AF79E3" w:rsidP="00A1240E">
            <w:pPr>
              <w:spacing w:line="276" w:lineRule="auto"/>
              <w:rPr>
                <w:rFonts w:ascii="Times New Roman" w:hAnsi="Times New Roman" w:cs="Times New Roman"/>
                <w:sz w:val="20"/>
                <w:szCs w:val="20"/>
              </w:rPr>
            </w:pPr>
            <w:r w:rsidRPr="00A1240E">
              <w:rPr>
                <w:rFonts w:ascii="Times New Roman" w:hAnsi="Times New Roman" w:cs="Times New Roman"/>
                <w:b/>
                <w:sz w:val="20"/>
                <w:szCs w:val="20"/>
              </w:rPr>
              <w:t>Kriteri 3:</w:t>
            </w:r>
            <w:r w:rsidRPr="00A1240E">
              <w:rPr>
                <w:rFonts w:ascii="Times New Roman" w:hAnsi="Times New Roman" w:cs="Times New Roman"/>
                <w:sz w:val="20"/>
                <w:szCs w:val="20"/>
              </w:rPr>
              <w:t xml:space="preserve"> Personeli akademik i programit të studimit specializim afatgjatë përbëhet nga:</w:t>
            </w:r>
          </w:p>
          <w:p w:rsidR="00AF79E3" w:rsidRPr="00A1240E" w:rsidRDefault="00AF79E3" w:rsidP="00A1240E">
            <w:pPr>
              <w:spacing w:line="276" w:lineRule="auto"/>
              <w:rPr>
                <w:rFonts w:ascii="Times New Roman" w:hAnsi="Times New Roman" w:cs="Times New Roman"/>
                <w:sz w:val="20"/>
                <w:szCs w:val="20"/>
              </w:rPr>
            </w:pPr>
            <w:r w:rsidRPr="00BD50D2">
              <w:rPr>
                <w:rFonts w:ascii="Times New Roman" w:hAnsi="Times New Roman" w:cs="Times New Roman"/>
                <w:b/>
                <w:sz w:val="20"/>
                <w:szCs w:val="20"/>
              </w:rPr>
              <w:t>i.</w:t>
            </w:r>
            <w:r w:rsidRPr="00A1240E">
              <w:rPr>
                <w:rFonts w:ascii="Times New Roman" w:hAnsi="Times New Roman" w:cs="Times New Roman"/>
                <w:sz w:val="20"/>
                <w:szCs w:val="20"/>
              </w:rPr>
              <w:t xml:space="preserve"> personel akademik me kohë të plotë me tituj akademikë dhe grada shkencore, jo më pak se 50% të pedagogëve që mbulojnë programin e studimit. Të paktën 1 (një) pedagog me kohë të plotë</w:t>
            </w:r>
            <w:r w:rsidR="00BD50D2" w:rsidRPr="00A1240E">
              <w:rPr>
                <w:rFonts w:ascii="Times New Roman" w:hAnsi="Times New Roman" w:cs="Times New Roman"/>
                <w:sz w:val="20"/>
                <w:szCs w:val="20"/>
              </w:rPr>
              <w:t>, i</w:t>
            </w:r>
            <w:r w:rsidRPr="00A1240E">
              <w:rPr>
                <w:rFonts w:ascii="Times New Roman" w:hAnsi="Times New Roman" w:cs="Times New Roman"/>
                <w:sz w:val="20"/>
                <w:szCs w:val="20"/>
              </w:rPr>
              <w:t xml:space="preserve"> kategorisë profesor, duhet t’i përkasë fushës së programit të studimit.</w:t>
            </w:r>
          </w:p>
          <w:p w:rsidR="00BD50D2" w:rsidRDefault="00AF79E3" w:rsidP="00A1240E">
            <w:pPr>
              <w:spacing w:line="276" w:lineRule="auto"/>
              <w:rPr>
                <w:rFonts w:ascii="Times New Roman" w:hAnsi="Times New Roman" w:cs="Times New Roman"/>
                <w:sz w:val="20"/>
                <w:szCs w:val="20"/>
              </w:rPr>
            </w:pPr>
            <w:r w:rsidRPr="00BD50D2">
              <w:rPr>
                <w:rFonts w:ascii="Times New Roman" w:hAnsi="Times New Roman" w:cs="Times New Roman"/>
                <w:b/>
                <w:sz w:val="20"/>
                <w:szCs w:val="20"/>
              </w:rPr>
              <w:t>ii.</w:t>
            </w:r>
            <w:r w:rsidRPr="00A1240E">
              <w:rPr>
                <w:rFonts w:ascii="Times New Roman" w:hAnsi="Times New Roman" w:cs="Times New Roman"/>
                <w:sz w:val="20"/>
                <w:szCs w:val="20"/>
              </w:rPr>
              <w:t xml:space="preserve"> </w:t>
            </w:r>
            <w:r w:rsidR="00BD50D2" w:rsidRPr="00A1240E">
              <w:rPr>
                <w:rFonts w:ascii="Times New Roman" w:hAnsi="Times New Roman" w:cs="Times New Roman"/>
                <w:sz w:val="20"/>
                <w:szCs w:val="20"/>
              </w:rPr>
              <w:t>Personel</w:t>
            </w:r>
            <w:r w:rsidRPr="00A1240E">
              <w:rPr>
                <w:rFonts w:ascii="Times New Roman" w:hAnsi="Times New Roman" w:cs="Times New Roman"/>
                <w:sz w:val="20"/>
                <w:szCs w:val="20"/>
              </w:rPr>
              <w:t xml:space="preserve"> akademik, i cili ushtron profesionin në strukturat shëndetësore universitare të përcaktuara, sipas legjislacionit në fuqi në masën jo më shumë se 50% e pedagogëve që mbulojnë programin e studimit. Ky personel akademik të ketë eksperiencë didaktike-formuese dhe eksperiencë profesionale-klinike diagnostike. </w:t>
            </w:r>
            <w:r w:rsidR="00BD50D2">
              <w:rPr>
                <w:rFonts w:ascii="Times New Roman" w:hAnsi="Times New Roman" w:cs="Times New Roman"/>
                <w:sz w:val="20"/>
                <w:szCs w:val="20"/>
              </w:rPr>
              <w:t xml:space="preserve"> </w:t>
            </w:r>
            <w:r w:rsidRPr="00A1240E">
              <w:rPr>
                <w:rFonts w:ascii="Times New Roman" w:hAnsi="Times New Roman" w:cs="Times New Roman"/>
                <w:sz w:val="20"/>
                <w:szCs w:val="20"/>
              </w:rPr>
              <w:t>Zhvillimi i aktivitetit mësimdhënës nga personeli i strukturave shëndetësore të rrjetit formues kërkon miratimin paraprak të drejtue</w:t>
            </w:r>
            <w:r w:rsidR="00BD50D2">
              <w:rPr>
                <w:rFonts w:ascii="Times New Roman" w:hAnsi="Times New Roman" w:cs="Times New Roman"/>
                <w:sz w:val="20"/>
                <w:szCs w:val="20"/>
              </w:rPr>
              <w:t>sit të strukturës shëndetësore.</w:t>
            </w:r>
          </w:p>
          <w:p w:rsidR="00AF79E3" w:rsidRPr="00A1240E" w:rsidRDefault="00AF79E3" w:rsidP="00A1240E">
            <w:pPr>
              <w:spacing w:line="276" w:lineRule="auto"/>
              <w:rPr>
                <w:rFonts w:ascii="Times New Roman" w:hAnsi="Times New Roman" w:cs="Times New Roman"/>
                <w:sz w:val="20"/>
                <w:szCs w:val="20"/>
              </w:rPr>
            </w:pPr>
            <w:r w:rsidRPr="00A1240E">
              <w:rPr>
                <w:rFonts w:ascii="Times New Roman" w:hAnsi="Times New Roman" w:cs="Times New Roman"/>
                <w:sz w:val="20"/>
                <w:szCs w:val="20"/>
              </w:rPr>
              <w:t xml:space="preserve">Zhvillimi i aktivitetit mësimdhënës </w:t>
            </w:r>
            <w:r w:rsidR="00BD50D2" w:rsidRPr="00A1240E">
              <w:rPr>
                <w:rFonts w:ascii="Times New Roman" w:hAnsi="Times New Roman" w:cs="Times New Roman"/>
                <w:sz w:val="20"/>
                <w:szCs w:val="20"/>
              </w:rPr>
              <w:t>nga personeli</w:t>
            </w:r>
            <w:r w:rsidRPr="00A1240E">
              <w:rPr>
                <w:rFonts w:ascii="Times New Roman" w:hAnsi="Times New Roman" w:cs="Times New Roman"/>
                <w:sz w:val="20"/>
                <w:szCs w:val="20"/>
              </w:rPr>
              <w:t xml:space="preserve"> i strukturave shëndetësore universitare, kërkon ne çdo rast miratimin paraprak nga IAL përkatëse, ku struktura shëndetësore universitare është pjesë përbërëse e saj.</w:t>
            </w:r>
          </w:p>
          <w:p w:rsidR="00BA509A" w:rsidRPr="00A1240E" w:rsidRDefault="00AF79E3" w:rsidP="004E47AC">
            <w:pPr>
              <w:spacing w:line="276" w:lineRule="auto"/>
              <w:rPr>
                <w:rFonts w:ascii="Times New Roman" w:hAnsi="Times New Roman" w:cs="Times New Roman"/>
                <w:sz w:val="20"/>
                <w:szCs w:val="20"/>
              </w:rPr>
            </w:pPr>
            <w:r w:rsidRPr="00BD50D2">
              <w:rPr>
                <w:rFonts w:ascii="Times New Roman" w:hAnsi="Times New Roman" w:cs="Times New Roman"/>
                <w:b/>
                <w:sz w:val="20"/>
                <w:szCs w:val="20"/>
              </w:rPr>
              <w:t>iii.</w:t>
            </w:r>
            <w:r w:rsidRPr="00A1240E">
              <w:rPr>
                <w:rFonts w:ascii="Times New Roman" w:hAnsi="Times New Roman" w:cs="Times New Roman"/>
                <w:sz w:val="20"/>
                <w:szCs w:val="20"/>
              </w:rPr>
              <w:t xml:space="preserve"> personel akademik me kohë të pjesshme, për disiplina të veçanta, jo më shumë se 10% e pedagogëve që mbulojnë programin e studimit, me të cilët lidhet një kontratë, sipas nevojave të stru</w:t>
            </w:r>
            <w:r w:rsidR="004E47AC">
              <w:rPr>
                <w:rFonts w:ascii="Times New Roman" w:hAnsi="Times New Roman" w:cs="Times New Roman"/>
                <w:sz w:val="20"/>
                <w:szCs w:val="20"/>
              </w:rPr>
              <w:t>kturës së programit të studimit.</w:t>
            </w:r>
          </w:p>
        </w:tc>
        <w:tc>
          <w:tcPr>
            <w:tcW w:w="6485"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BE7F06">
        <w:tc>
          <w:tcPr>
            <w:tcW w:w="3235" w:type="dxa"/>
          </w:tcPr>
          <w:p w:rsidR="00BA509A" w:rsidRPr="00A1240E" w:rsidRDefault="00AF79E3" w:rsidP="004E47AC">
            <w:pPr>
              <w:spacing w:line="276" w:lineRule="auto"/>
              <w:rPr>
                <w:rFonts w:ascii="Times New Roman" w:hAnsi="Times New Roman" w:cs="Times New Roman"/>
                <w:sz w:val="20"/>
                <w:szCs w:val="20"/>
              </w:rPr>
            </w:pPr>
            <w:r w:rsidRPr="00BD50D2">
              <w:rPr>
                <w:rFonts w:ascii="Times New Roman" w:hAnsi="Times New Roman" w:cs="Times New Roman"/>
                <w:b/>
                <w:sz w:val="20"/>
                <w:szCs w:val="20"/>
              </w:rPr>
              <w:t>Kriteri 4:</w:t>
            </w:r>
            <w:r w:rsidRPr="00A1240E">
              <w:rPr>
                <w:rFonts w:ascii="Times New Roman" w:hAnsi="Times New Roman" w:cs="Times New Roman"/>
                <w:sz w:val="20"/>
                <w:szCs w:val="20"/>
              </w:rPr>
              <w:t xml:space="preserve"> Programi i studimit specializim afatgjatë ka </w:t>
            </w:r>
            <w:r w:rsidRPr="00A1240E">
              <w:rPr>
                <w:rFonts w:ascii="Times New Roman" w:hAnsi="Times New Roman" w:cs="Times New Roman"/>
                <w:sz w:val="20"/>
                <w:szCs w:val="20"/>
              </w:rPr>
              <w:lastRenderedPageBreak/>
              <w:t>drejtuesin/</w:t>
            </w:r>
            <w:r w:rsidR="00BD50D2" w:rsidRPr="00A1240E">
              <w:rPr>
                <w:rFonts w:ascii="Times New Roman" w:hAnsi="Times New Roman" w:cs="Times New Roman"/>
                <w:sz w:val="20"/>
                <w:szCs w:val="20"/>
              </w:rPr>
              <w:t>përgjegjësin e</w:t>
            </w:r>
            <w:r w:rsidRPr="00A1240E">
              <w:rPr>
                <w:rFonts w:ascii="Times New Roman" w:hAnsi="Times New Roman" w:cs="Times New Roman"/>
                <w:sz w:val="20"/>
                <w:szCs w:val="20"/>
              </w:rPr>
              <w:t xml:space="preserve"> programit. Përgjegjësi/drejtuesi i programit të specializimit duhet të jetë personel akademik me kohë të plotë. Përgjegjësi/drejtuesi i programit të specializimit është njëkohësisht dhe anëtar i njësisë bazë përgjegjëse/shërbimit përgjegjës për programin e specializimit afatgjatë. Përgjegjësi/drejtuesi i programit të specializimit zgjidhet nga anëtarët të asamblesë së njësisë bazë, me shumicë të thjeshte (50%+1). Përgjegjësi/drejtuesi i programit në një IAL nuk mund të ngarkohet me përgjegjësinë e drejtimit të një tjetër programi studimi q</w:t>
            </w:r>
            <w:r w:rsidR="00E16F2F">
              <w:rPr>
                <w:rFonts w:ascii="Times New Roman" w:hAnsi="Times New Roman" w:cs="Times New Roman"/>
                <w:sz w:val="20"/>
                <w:szCs w:val="20"/>
              </w:rPr>
              <w:t>ë realizohet nga IAL-të e tjera.</w:t>
            </w:r>
          </w:p>
        </w:tc>
        <w:tc>
          <w:tcPr>
            <w:tcW w:w="6485"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BE7F06">
        <w:tc>
          <w:tcPr>
            <w:tcW w:w="3235" w:type="dxa"/>
          </w:tcPr>
          <w:p w:rsidR="00A1240E" w:rsidRPr="00A1240E" w:rsidRDefault="00A1240E" w:rsidP="00A1240E">
            <w:pPr>
              <w:spacing w:line="276" w:lineRule="auto"/>
              <w:rPr>
                <w:rFonts w:ascii="Times New Roman" w:hAnsi="Times New Roman" w:cs="Times New Roman"/>
                <w:sz w:val="20"/>
                <w:szCs w:val="20"/>
              </w:rPr>
            </w:pPr>
            <w:r w:rsidRPr="00E16F2F">
              <w:rPr>
                <w:rFonts w:ascii="Times New Roman" w:hAnsi="Times New Roman" w:cs="Times New Roman"/>
                <w:b/>
                <w:sz w:val="20"/>
                <w:szCs w:val="20"/>
              </w:rPr>
              <w:t>Kriteri 5:</w:t>
            </w:r>
            <w:r w:rsidRPr="00A1240E">
              <w:rPr>
                <w:rFonts w:ascii="Times New Roman" w:hAnsi="Times New Roman" w:cs="Times New Roman"/>
                <w:sz w:val="20"/>
                <w:szCs w:val="20"/>
              </w:rPr>
              <w:t xml:space="preserve"> Njësia përgjegjëse garanton se ka kapacitete për udhëheqjen e specializantit.</w:t>
            </w:r>
          </w:p>
          <w:p w:rsidR="00A1240E" w:rsidRPr="00A1240E" w:rsidRDefault="00A1240E" w:rsidP="00A1240E">
            <w:pPr>
              <w:spacing w:line="276" w:lineRule="auto"/>
              <w:rPr>
                <w:rFonts w:ascii="Times New Roman" w:hAnsi="Times New Roman" w:cs="Times New Roman"/>
                <w:sz w:val="20"/>
                <w:szCs w:val="20"/>
              </w:rPr>
            </w:pPr>
            <w:r w:rsidRPr="00A1240E">
              <w:rPr>
                <w:rFonts w:ascii="Times New Roman" w:hAnsi="Times New Roman" w:cs="Times New Roman"/>
                <w:sz w:val="20"/>
                <w:szCs w:val="20"/>
              </w:rPr>
              <w:t xml:space="preserve">Udhëheqësi i specializantit është: udhëheqës akademik dhe udhëheqës klinik diagnostik. </w:t>
            </w:r>
          </w:p>
          <w:p w:rsidR="00E16F2F" w:rsidRDefault="00E16F2F" w:rsidP="00A1240E">
            <w:pPr>
              <w:spacing w:line="276" w:lineRule="auto"/>
              <w:rPr>
                <w:rFonts w:ascii="Times New Roman" w:hAnsi="Times New Roman" w:cs="Times New Roman"/>
                <w:sz w:val="20"/>
                <w:szCs w:val="20"/>
              </w:rPr>
            </w:pPr>
          </w:p>
          <w:p w:rsidR="00A1240E" w:rsidRPr="00A1240E" w:rsidRDefault="00A1240E" w:rsidP="00A1240E">
            <w:pPr>
              <w:spacing w:line="276" w:lineRule="auto"/>
              <w:rPr>
                <w:rFonts w:ascii="Times New Roman" w:hAnsi="Times New Roman" w:cs="Times New Roman"/>
                <w:sz w:val="20"/>
                <w:szCs w:val="20"/>
              </w:rPr>
            </w:pPr>
            <w:r w:rsidRPr="00A1240E">
              <w:rPr>
                <w:rFonts w:ascii="Times New Roman" w:hAnsi="Times New Roman" w:cs="Times New Roman"/>
                <w:sz w:val="20"/>
                <w:szCs w:val="20"/>
              </w:rPr>
              <w:t xml:space="preserve">Numri maksimal i studentëve </w:t>
            </w:r>
            <w:r w:rsidR="00E16F2F" w:rsidRPr="00A1240E">
              <w:rPr>
                <w:rFonts w:ascii="Times New Roman" w:hAnsi="Times New Roman" w:cs="Times New Roman"/>
                <w:sz w:val="20"/>
                <w:szCs w:val="20"/>
              </w:rPr>
              <w:t>që mund</w:t>
            </w:r>
            <w:r w:rsidRPr="00A1240E">
              <w:rPr>
                <w:rFonts w:ascii="Times New Roman" w:hAnsi="Times New Roman" w:cs="Times New Roman"/>
                <w:sz w:val="20"/>
                <w:szCs w:val="20"/>
              </w:rPr>
              <w:t xml:space="preserve"> të ndiqet nga udhëheqës akademik/klinik diagnostik është sipas kuadrit ligjor ne fuqi.</w:t>
            </w:r>
          </w:p>
          <w:p w:rsidR="00E16F2F" w:rsidRDefault="00E16F2F" w:rsidP="00A1240E">
            <w:pPr>
              <w:spacing w:line="276" w:lineRule="auto"/>
              <w:rPr>
                <w:rFonts w:ascii="Times New Roman" w:hAnsi="Times New Roman" w:cs="Times New Roman"/>
                <w:sz w:val="20"/>
                <w:szCs w:val="20"/>
              </w:rPr>
            </w:pPr>
          </w:p>
          <w:p w:rsidR="00A1240E" w:rsidRDefault="00A1240E" w:rsidP="00A1240E">
            <w:pPr>
              <w:spacing w:line="276" w:lineRule="auto"/>
              <w:rPr>
                <w:rFonts w:ascii="Times New Roman" w:hAnsi="Times New Roman" w:cs="Times New Roman"/>
                <w:sz w:val="20"/>
                <w:szCs w:val="20"/>
              </w:rPr>
            </w:pPr>
            <w:r w:rsidRPr="00A1240E">
              <w:rPr>
                <w:rFonts w:ascii="Times New Roman" w:hAnsi="Times New Roman" w:cs="Times New Roman"/>
                <w:sz w:val="20"/>
                <w:szCs w:val="20"/>
              </w:rPr>
              <w:t xml:space="preserve">Drejtimi i specializantit i ngarkohet, </w:t>
            </w:r>
            <w:r w:rsidR="00E16F2F" w:rsidRPr="00A1240E">
              <w:rPr>
                <w:rFonts w:ascii="Times New Roman" w:hAnsi="Times New Roman" w:cs="Times New Roman"/>
                <w:sz w:val="20"/>
                <w:szCs w:val="20"/>
              </w:rPr>
              <w:t>në cilësinë</w:t>
            </w:r>
            <w:r w:rsidRPr="00A1240E">
              <w:rPr>
                <w:rFonts w:ascii="Times New Roman" w:hAnsi="Times New Roman" w:cs="Times New Roman"/>
                <w:sz w:val="20"/>
                <w:szCs w:val="20"/>
              </w:rPr>
              <w:t xml:space="preserve"> e udhëheqësit, një pedagogu (udhëheqës akademik) dhe/ose një anëtari të personelit të strukturës shëndetësore të rrjetit formues (udhëheqës klinik/tutori) të programit të studimit, i cili/të cilët udhëheqin specializantin gjatë gjithë periudhës së specializimit dhe janë përgjegjës për drejtimin, këshillimin, vlerësirnin e nevojave të studentit, si edhe për zhvillimin dhe monitorimin e punës së studentit.</w:t>
            </w:r>
          </w:p>
          <w:p w:rsidR="00E16F2F" w:rsidRPr="00A1240E" w:rsidRDefault="00E16F2F" w:rsidP="00A1240E">
            <w:pPr>
              <w:spacing w:line="276" w:lineRule="auto"/>
              <w:rPr>
                <w:rFonts w:ascii="Times New Roman" w:hAnsi="Times New Roman" w:cs="Times New Roman"/>
                <w:sz w:val="20"/>
                <w:szCs w:val="20"/>
              </w:rPr>
            </w:pPr>
          </w:p>
          <w:p w:rsidR="00A1240E" w:rsidRDefault="00A1240E" w:rsidP="00A1240E">
            <w:pPr>
              <w:spacing w:line="276" w:lineRule="auto"/>
              <w:rPr>
                <w:rFonts w:ascii="Times New Roman" w:hAnsi="Times New Roman" w:cs="Times New Roman"/>
                <w:sz w:val="20"/>
                <w:szCs w:val="20"/>
              </w:rPr>
            </w:pPr>
            <w:r w:rsidRPr="00A1240E">
              <w:rPr>
                <w:rFonts w:ascii="Times New Roman" w:hAnsi="Times New Roman" w:cs="Times New Roman"/>
                <w:sz w:val="20"/>
                <w:szCs w:val="20"/>
              </w:rPr>
              <w:t xml:space="preserve">Fusha e specializimit të udhëheqësit duhet të përputhet me atë të programit specializues që ndjek. Udhëheqësi klinik/tutori ka një experiencë profesionale të paktën 10-vjeçare (dhjetëvjeçare) me përvojë klinike në fushën klinike përkatëse dhe ka të paktën gradën shkencare </w:t>
            </w:r>
            <w:r w:rsidRPr="00A1240E">
              <w:rPr>
                <w:rFonts w:ascii="Times New Roman" w:hAnsi="Times New Roman" w:cs="Times New Roman"/>
                <w:sz w:val="20"/>
                <w:szCs w:val="20"/>
              </w:rPr>
              <w:lastRenderedPageBreak/>
              <w:t>“Doktor”. Numri maksimal i studentëve specializantë që mund të ndiqet nga udhëheqësi akademik/klinik është 3 (tre).</w:t>
            </w:r>
          </w:p>
          <w:p w:rsidR="00E16F2F" w:rsidRPr="00A1240E" w:rsidRDefault="00E16F2F" w:rsidP="00A1240E">
            <w:pPr>
              <w:spacing w:line="276" w:lineRule="auto"/>
              <w:rPr>
                <w:rFonts w:ascii="Times New Roman" w:hAnsi="Times New Roman" w:cs="Times New Roman"/>
                <w:sz w:val="20"/>
                <w:szCs w:val="20"/>
              </w:rPr>
            </w:pPr>
          </w:p>
          <w:p w:rsidR="00A1240E" w:rsidRDefault="00A1240E" w:rsidP="00A1240E">
            <w:pPr>
              <w:spacing w:line="276" w:lineRule="auto"/>
              <w:rPr>
                <w:rFonts w:ascii="Times New Roman" w:hAnsi="Times New Roman" w:cs="Times New Roman"/>
                <w:sz w:val="20"/>
                <w:szCs w:val="20"/>
              </w:rPr>
            </w:pPr>
            <w:r w:rsidRPr="00A1240E">
              <w:rPr>
                <w:rFonts w:ascii="Times New Roman" w:hAnsi="Times New Roman" w:cs="Times New Roman"/>
                <w:sz w:val="20"/>
                <w:szCs w:val="20"/>
              </w:rPr>
              <w:t>Udhëheqësi klinik/tutori është personel i punësuar me kohë të plotë pranë njërës nga strukturat e rrjetit formues dhe ka kontratë bashkëpunimi me IAL-në që ofron programin. Kur tutori nuk është pjesë e personelit me kohë të plotë të strukturës që ofron programin e specializmit, specializantit i caktohet edhe një udhëheqës akademik, anëtar i personelit akademik me kohë të plotë të institucionit. Për caktimin e udhëheqësit klinik merret vendimi i drejtuesit të strukturës shëndetësore dhe udhëheqja e tij klinike konsiderohet si pjesë e orarit të punës.</w:t>
            </w:r>
          </w:p>
          <w:p w:rsidR="00E16F2F" w:rsidRPr="00A1240E" w:rsidRDefault="00E16F2F" w:rsidP="00A1240E">
            <w:pPr>
              <w:spacing w:line="276" w:lineRule="auto"/>
              <w:rPr>
                <w:rFonts w:ascii="Times New Roman" w:hAnsi="Times New Roman" w:cs="Times New Roman"/>
                <w:sz w:val="20"/>
                <w:szCs w:val="20"/>
              </w:rPr>
            </w:pPr>
          </w:p>
          <w:p w:rsidR="00BA509A" w:rsidRPr="00A1240E" w:rsidRDefault="00A1240E" w:rsidP="004E47AC">
            <w:pPr>
              <w:spacing w:line="276" w:lineRule="auto"/>
              <w:rPr>
                <w:rFonts w:ascii="Times New Roman" w:hAnsi="Times New Roman" w:cs="Times New Roman"/>
                <w:sz w:val="20"/>
                <w:szCs w:val="20"/>
              </w:rPr>
            </w:pPr>
            <w:r w:rsidRPr="00A1240E">
              <w:rPr>
                <w:rFonts w:ascii="Times New Roman" w:hAnsi="Times New Roman" w:cs="Times New Roman"/>
                <w:sz w:val="20"/>
                <w:szCs w:val="20"/>
              </w:rPr>
              <w:t>Aktiviteti i mësimdhënies kryhet njëkohësisht me aktivitetin asistencial/profesional, në përputhje me kërkesat e programit të studimit. Zhvillimi i aktivitetit mësimdhënës në selinë ku realizohet programi i studimit nga personeli i strukturave shëndetësore universitare kërkon miratimin paraprak t</w:t>
            </w:r>
            <w:r w:rsidR="004E47AC">
              <w:rPr>
                <w:rFonts w:ascii="Times New Roman" w:hAnsi="Times New Roman" w:cs="Times New Roman"/>
                <w:sz w:val="20"/>
                <w:szCs w:val="20"/>
              </w:rPr>
              <w:t>ë drejtuesit të këtij shërbimi.</w:t>
            </w:r>
          </w:p>
        </w:tc>
        <w:tc>
          <w:tcPr>
            <w:tcW w:w="6485" w:type="dxa"/>
            <w:gridSpan w:val="4"/>
          </w:tcPr>
          <w:p w:rsidR="00BA509A" w:rsidRPr="00500475" w:rsidRDefault="00BA509A" w:rsidP="00243BA4">
            <w:pPr>
              <w:spacing w:line="276" w:lineRule="auto"/>
              <w:jc w:val="both"/>
              <w:rPr>
                <w:rFonts w:ascii="Times New Roman" w:hAnsi="Times New Roman" w:cs="Times New Roman"/>
                <w:b/>
              </w:rPr>
            </w:pPr>
          </w:p>
        </w:tc>
      </w:tr>
      <w:tr w:rsidR="00C1352C" w:rsidRPr="00500475" w:rsidTr="00D832FD">
        <w:trPr>
          <w:trHeight w:val="315"/>
        </w:trPr>
        <w:tc>
          <w:tcPr>
            <w:tcW w:w="3235" w:type="dxa"/>
            <w:vMerge w:val="restart"/>
            <w:shd w:val="clear" w:color="auto" w:fill="F7CAAC" w:themeFill="accent2" w:themeFillTint="66"/>
          </w:tcPr>
          <w:p w:rsidR="00C1352C" w:rsidRPr="00500475" w:rsidRDefault="00C1352C" w:rsidP="00243BA4">
            <w:pPr>
              <w:spacing w:line="276" w:lineRule="auto"/>
              <w:rPr>
                <w:rFonts w:ascii="Times New Roman" w:hAnsi="Times New Roman" w:cs="Times New Roman"/>
                <w:b/>
              </w:rPr>
            </w:pPr>
            <w:r w:rsidRPr="00500475">
              <w:rPr>
                <w:rFonts w:ascii="Times New Roman" w:hAnsi="Times New Roman" w:cs="Times New Roman"/>
                <w:b/>
              </w:rPr>
              <w:t>Shkalla e përmbushjes së standardit</w:t>
            </w:r>
          </w:p>
        </w:tc>
        <w:tc>
          <w:tcPr>
            <w:tcW w:w="1445" w:type="dxa"/>
            <w:shd w:val="clear" w:color="auto" w:fill="FF00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Nuk përmbushet</w:t>
            </w:r>
          </w:p>
        </w:tc>
        <w:tc>
          <w:tcPr>
            <w:tcW w:w="1530" w:type="dxa"/>
            <w:shd w:val="clear" w:color="auto" w:fill="FF66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pjesërisht</w:t>
            </w:r>
          </w:p>
        </w:tc>
        <w:tc>
          <w:tcPr>
            <w:tcW w:w="1620" w:type="dxa"/>
            <w:shd w:val="clear" w:color="auto" w:fill="CCCC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kryesisht</w:t>
            </w:r>
          </w:p>
        </w:tc>
        <w:tc>
          <w:tcPr>
            <w:tcW w:w="1890" w:type="dxa"/>
            <w:shd w:val="clear" w:color="auto" w:fill="92D05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plotësisht</w:t>
            </w:r>
          </w:p>
        </w:tc>
      </w:tr>
      <w:tr w:rsidR="00C1352C" w:rsidRPr="00500475" w:rsidTr="00BE7F06">
        <w:trPr>
          <w:trHeight w:val="315"/>
        </w:trPr>
        <w:tc>
          <w:tcPr>
            <w:tcW w:w="3235" w:type="dxa"/>
            <w:vMerge/>
            <w:shd w:val="clear" w:color="auto" w:fill="F7CAAC" w:themeFill="accent2" w:themeFillTint="66"/>
          </w:tcPr>
          <w:p w:rsidR="00C1352C" w:rsidRPr="00500475" w:rsidRDefault="00C1352C" w:rsidP="00243BA4">
            <w:pPr>
              <w:spacing w:line="276" w:lineRule="auto"/>
              <w:rPr>
                <w:rFonts w:ascii="Times New Roman" w:hAnsi="Times New Roman" w:cs="Times New Roman"/>
                <w:b/>
              </w:rPr>
            </w:pPr>
          </w:p>
        </w:tc>
        <w:tc>
          <w:tcPr>
            <w:tcW w:w="1445" w:type="dxa"/>
          </w:tcPr>
          <w:p w:rsidR="00C1352C" w:rsidRPr="00500475" w:rsidRDefault="00C1352C" w:rsidP="00243BA4">
            <w:pPr>
              <w:spacing w:line="276" w:lineRule="auto"/>
              <w:jc w:val="both"/>
              <w:rPr>
                <w:rFonts w:ascii="Times New Roman" w:hAnsi="Times New Roman" w:cs="Times New Roman"/>
                <w:b/>
              </w:rPr>
            </w:pPr>
          </w:p>
        </w:tc>
        <w:tc>
          <w:tcPr>
            <w:tcW w:w="1530" w:type="dxa"/>
          </w:tcPr>
          <w:p w:rsidR="00C1352C" w:rsidRPr="00500475" w:rsidRDefault="00C1352C" w:rsidP="00243BA4">
            <w:pPr>
              <w:spacing w:line="276" w:lineRule="auto"/>
              <w:jc w:val="both"/>
              <w:rPr>
                <w:rFonts w:ascii="Times New Roman" w:hAnsi="Times New Roman" w:cs="Times New Roman"/>
                <w:b/>
              </w:rPr>
            </w:pPr>
          </w:p>
        </w:tc>
        <w:tc>
          <w:tcPr>
            <w:tcW w:w="1620" w:type="dxa"/>
          </w:tcPr>
          <w:p w:rsidR="00C1352C" w:rsidRPr="00500475" w:rsidRDefault="00C1352C" w:rsidP="00243BA4">
            <w:pPr>
              <w:spacing w:line="276" w:lineRule="auto"/>
              <w:jc w:val="both"/>
              <w:rPr>
                <w:rFonts w:ascii="Times New Roman" w:hAnsi="Times New Roman" w:cs="Times New Roman"/>
                <w:b/>
              </w:rPr>
            </w:pPr>
          </w:p>
        </w:tc>
        <w:tc>
          <w:tcPr>
            <w:tcW w:w="1890" w:type="dxa"/>
          </w:tcPr>
          <w:p w:rsidR="00C1352C" w:rsidRPr="00500475" w:rsidRDefault="00C1352C" w:rsidP="00243BA4">
            <w:pPr>
              <w:spacing w:line="276" w:lineRule="auto"/>
              <w:jc w:val="both"/>
              <w:rPr>
                <w:rFonts w:ascii="Times New Roman" w:hAnsi="Times New Roman" w:cs="Times New Roman"/>
                <w:b/>
              </w:rPr>
            </w:pPr>
          </w:p>
        </w:tc>
      </w:tr>
    </w:tbl>
    <w:p w:rsidR="00B100A2" w:rsidRPr="004E47AC" w:rsidRDefault="00B100A2" w:rsidP="004E47A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259"/>
        <w:gridCol w:w="1421"/>
        <w:gridCol w:w="1530"/>
        <w:gridCol w:w="1620"/>
        <w:gridCol w:w="1890"/>
      </w:tblGrid>
      <w:tr w:rsidR="00C1352C" w:rsidRPr="00500475" w:rsidTr="00500475">
        <w:tc>
          <w:tcPr>
            <w:tcW w:w="9720" w:type="dxa"/>
            <w:gridSpan w:val="5"/>
            <w:shd w:val="clear" w:color="auto" w:fill="F7CAAC" w:themeFill="accent2" w:themeFillTint="66"/>
          </w:tcPr>
          <w:p w:rsidR="00C1352C" w:rsidRPr="00500475" w:rsidRDefault="00C1352C" w:rsidP="00243BA4">
            <w:pPr>
              <w:spacing w:line="276" w:lineRule="auto"/>
              <w:jc w:val="both"/>
              <w:rPr>
                <w:rFonts w:ascii="Times New Roman" w:hAnsi="Times New Roman" w:cs="Times New Roman"/>
                <w:b/>
                <w:lang w:val="sq-AL"/>
              </w:rPr>
            </w:pPr>
            <w:r w:rsidRPr="00500475">
              <w:rPr>
                <w:rFonts w:ascii="Times New Roman" w:hAnsi="Times New Roman" w:cs="Times New Roman"/>
                <w:b/>
                <w:lang w:val="sq-AL"/>
              </w:rPr>
              <w:t>Standardi III.2</w:t>
            </w:r>
          </w:p>
          <w:p w:rsidR="00C1352C" w:rsidRPr="00500475" w:rsidRDefault="00B245ED" w:rsidP="00243BA4">
            <w:pPr>
              <w:spacing w:line="276" w:lineRule="auto"/>
              <w:jc w:val="both"/>
              <w:rPr>
                <w:rFonts w:ascii="Times New Roman" w:hAnsi="Times New Roman" w:cs="Times New Roman"/>
                <w:b/>
              </w:rPr>
            </w:pPr>
            <w:r w:rsidRPr="00B245ED">
              <w:rPr>
                <w:rFonts w:ascii="Times New Roman" w:hAnsi="Times New Roman" w:cs="Times New Roman"/>
                <w:b/>
                <w:lang w:val="sq-AL"/>
              </w:rPr>
              <w:t>Institucioni garanton infrastrukturën dhe logjistikën e nevojshme në funksion të programit të specializimit afatgjatë</w:t>
            </w:r>
            <w:r>
              <w:rPr>
                <w:rFonts w:ascii="Times New Roman" w:hAnsi="Times New Roman" w:cs="Times New Roman"/>
                <w:b/>
                <w:lang w:val="sq-AL"/>
              </w:rPr>
              <w:t>.</w:t>
            </w:r>
          </w:p>
        </w:tc>
      </w:tr>
      <w:tr w:rsidR="00C1352C" w:rsidRPr="00500475" w:rsidTr="00BE7F06">
        <w:trPr>
          <w:trHeight w:val="395"/>
        </w:trPr>
        <w:tc>
          <w:tcPr>
            <w:tcW w:w="3259" w:type="dxa"/>
            <w:shd w:val="clear" w:color="auto" w:fill="C5E0B3" w:themeFill="accent6" w:themeFillTint="66"/>
          </w:tcPr>
          <w:p w:rsidR="00C1352C" w:rsidRPr="00500475" w:rsidRDefault="00C1352C" w:rsidP="00243BA4">
            <w:pPr>
              <w:spacing w:line="276" w:lineRule="auto"/>
              <w:jc w:val="both"/>
              <w:rPr>
                <w:rFonts w:ascii="Times New Roman" w:eastAsia="Times New Roman" w:hAnsi="Times New Roman" w:cs="Times New Roman"/>
                <w:b/>
                <w:bCs/>
                <w:lang w:val="sq-AL"/>
              </w:rPr>
            </w:pPr>
            <w:r w:rsidRPr="00500475">
              <w:rPr>
                <w:rFonts w:ascii="Times New Roman" w:eastAsia="Times New Roman" w:hAnsi="Times New Roman" w:cs="Times New Roman"/>
                <w:b/>
                <w:bCs/>
                <w:lang w:val="sq-AL"/>
              </w:rPr>
              <w:t>Kriteret</w:t>
            </w:r>
          </w:p>
        </w:tc>
        <w:tc>
          <w:tcPr>
            <w:tcW w:w="6461" w:type="dxa"/>
            <w:gridSpan w:val="4"/>
            <w:shd w:val="clear" w:color="auto" w:fill="C5E0B3" w:themeFill="accent6" w:themeFillTint="66"/>
          </w:tcPr>
          <w:p w:rsidR="00C1352C" w:rsidRPr="00500475" w:rsidRDefault="00C1352C" w:rsidP="004E47AC">
            <w:pPr>
              <w:spacing w:line="276" w:lineRule="auto"/>
              <w:jc w:val="center"/>
              <w:rPr>
                <w:rFonts w:ascii="Times New Roman" w:eastAsia="Times New Roman" w:hAnsi="Times New Roman" w:cs="Times New Roman"/>
                <w:b/>
                <w:bCs/>
                <w:lang w:val="sq-AL"/>
              </w:rPr>
            </w:pPr>
            <w:r w:rsidRPr="00500475">
              <w:rPr>
                <w:rFonts w:ascii="Times New Roman" w:eastAsia="Times New Roman" w:hAnsi="Times New Roman" w:cs="Times New Roman"/>
                <w:b/>
                <w:bCs/>
                <w:lang w:val="sq-AL"/>
              </w:rPr>
              <w:t>Vlerësimi i ekspertëve</w:t>
            </w:r>
          </w:p>
        </w:tc>
      </w:tr>
      <w:tr w:rsidR="00BA509A" w:rsidRPr="00500475" w:rsidTr="00BE7F06">
        <w:tc>
          <w:tcPr>
            <w:tcW w:w="3259" w:type="dxa"/>
          </w:tcPr>
          <w:p w:rsidR="00BA509A" w:rsidRPr="00B245ED" w:rsidRDefault="00B245ED" w:rsidP="004E47AC">
            <w:pPr>
              <w:spacing w:line="276" w:lineRule="auto"/>
              <w:rPr>
                <w:rFonts w:ascii="Times New Roman" w:hAnsi="Times New Roman" w:cs="Times New Roman"/>
                <w:sz w:val="20"/>
                <w:szCs w:val="20"/>
              </w:rPr>
            </w:pPr>
            <w:r w:rsidRPr="00B245ED">
              <w:rPr>
                <w:rFonts w:ascii="Times New Roman" w:hAnsi="Times New Roman" w:cs="Times New Roman"/>
                <w:b/>
                <w:sz w:val="20"/>
                <w:szCs w:val="20"/>
              </w:rPr>
              <w:t>Kriteri 1:</w:t>
            </w:r>
            <w:r w:rsidRPr="00B245ED">
              <w:rPr>
                <w:rFonts w:ascii="Times New Roman" w:hAnsi="Times New Roman" w:cs="Times New Roman"/>
                <w:sz w:val="20"/>
                <w:szCs w:val="20"/>
              </w:rPr>
              <w:t xml:space="preserve"> Institucioni ka një vendndodhje të përhershme, që nënkupton mjedis qendror administrativ dhe mjedis ku zhvillohet veprimtaria mësimore. Këto mjedise duhet të jenë në dispozicion të institu</w:t>
            </w:r>
            <w:r w:rsidR="004E47AC">
              <w:rPr>
                <w:rFonts w:ascii="Times New Roman" w:hAnsi="Times New Roman" w:cs="Times New Roman"/>
                <w:sz w:val="20"/>
                <w:szCs w:val="20"/>
              </w:rPr>
              <w:t>cionit për jo më pak se 6 vjet.</w:t>
            </w:r>
          </w:p>
        </w:tc>
        <w:tc>
          <w:tcPr>
            <w:tcW w:w="6461"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BE7F06">
        <w:tc>
          <w:tcPr>
            <w:tcW w:w="3259" w:type="dxa"/>
          </w:tcPr>
          <w:p w:rsidR="00BA509A" w:rsidRPr="00B245ED" w:rsidRDefault="00B245ED" w:rsidP="004E47AC">
            <w:pPr>
              <w:spacing w:line="276" w:lineRule="auto"/>
              <w:rPr>
                <w:rFonts w:ascii="Times New Roman" w:hAnsi="Times New Roman" w:cs="Times New Roman"/>
                <w:sz w:val="20"/>
                <w:szCs w:val="20"/>
              </w:rPr>
            </w:pPr>
            <w:r w:rsidRPr="00B245ED">
              <w:rPr>
                <w:rFonts w:ascii="Times New Roman" w:hAnsi="Times New Roman" w:cs="Times New Roman"/>
                <w:b/>
                <w:sz w:val="20"/>
                <w:szCs w:val="20"/>
              </w:rPr>
              <w:lastRenderedPageBreak/>
              <w:t>Kriteri 2:</w:t>
            </w:r>
            <w:r w:rsidRPr="00B245ED">
              <w:rPr>
                <w:rFonts w:ascii="Times New Roman" w:hAnsi="Times New Roman" w:cs="Times New Roman"/>
                <w:sz w:val="20"/>
                <w:szCs w:val="20"/>
              </w:rPr>
              <w:t xml:space="preserve"> Institucioni duhet të ketë kapacitete të mjaftueshme infrastrukturore dhe teknologjike. Ai disponon struktura administrative dhe klinike, të mjaftueshme për aktivitetet e parashikuara në programin e studimit specializues sipas standardeve specifike bashkëngjit</w:t>
            </w:r>
            <w:r w:rsidR="004E47AC">
              <w:rPr>
                <w:rFonts w:ascii="Times New Roman" w:hAnsi="Times New Roman" w:cs="Times New Roman"/>
                <w:sz w:val="20"/>
                <w:szCs w:val="20"/>
              </w:rPr>
              <w:t>ur këtij dokumenti (Shtojca 2).</w:t>
            </w:r>
          </w:p>
        </w:tc>
        <w:tc>
          <w:tcPr>
            <w:tcW w:w="6461"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BE7F06">
        <w:tc>
          <w:tcPr>
            <w:tcW w:w="3259" w:type="dxa"/>
          </w:tcPr>
          <w:p w:rsidR="00BA509A" w:rsidRPr="00B245ED" w:rsidRDefault="00B245ED" w:rsidP="004E47AC">
            <w:pPr>
              <w:spacing w:line="276" w:lineRule="auto"/>
              <w:rPr>
                <w:rFonts w:ascii="Times New Roman" w:hAnsi="Times New Roman" w:cs="Times New Roman"/>
                <w:sz w:val="20"/>
                <w:szCs w:val="20"/>
              </w:rPr>
            </w:pPr>
            <w:r w:rsidRPr="00B245ED">
              <w:rPr>
                <w:rFonts w:ascii="Times New Roman" w:hAnsi="Times New Roman" w:cs="Times New Roman"/>
                <w:b/>
                <w:sz w:val="20"/>
                <w:szCs w:val="20"/>
              </w:rPr>
              <w:t>Kriteri 3:</w:t>
            </w:r>
            <w:r w:rsidRPr="00B245ED">
              <w:rPr>
                <w:rFonts w:ascii="Times New Roman" w:hAnsi="Times New Roman" w:cs="Times New Roman"/>
                <w:sz w:val="20"/>
                <w:szCs w:val="20"/>
              </w:rPr>
              <w:t xml:space="preserve"> Institucioni disponon struktura shëndetësore të akredituara për zhvillimin e aktiviteteve të ndryshme klinike diagnostikuese, profesionale dhe didaktike. Akreditimi i këtyre strukturave bëhe</w:t>
            </w:r>
            <w:r w:rsidR="004E47AC">
              <w:rPr>
                <w:rFonts w:ascii="Times New Roman" w:hAnsi="Times New Roman" w:cs="Times New Roman"/>
                <w:sz w:val="20"/>
                <w:szCs w:val="20"/>
              </w:rPr>
              <w:t>t sipas kuadrit ligjor ne fuqi.</w:t>
            </w:r>
          </w:p>
        </w:tc>
        <w:tc>
          <w:tcPr>
            <w:tcW w:w="6461" w:type="dxa"/>
            <w:gridSpan w:val="4"/>
          </w:tcPr>
          <w:p w:rsidR="00BA509A" w:rsidRPr="00500475" w:rsidRDefault="00BA509A" w:rsidP="00243BA4">
            <w:pPr>
              <w:spacing w:line="276" w:lineRule="auto"/>
              <w:jc w:val="both"/>
              <w:rPr>
                <w:rFonts w:ascii="Times New Roman" w:hAnsi="Times New Roman" w:cs="Times New Roman"/>
                <w:b/>
              </w:rPr>
            </w:pPr>
          </w:p>
        </w:tc>
      </w:tr>
      <w:tr w:rsidR="00B245ED" w:rsidRPr="00500475" w:rsidTr="00BE7F06">
        <w:tc>
          <w:tcPr>
            <w:tcW w:w="3259" w:type="dxa"/>
          </w:tcPr>
          <w:p w:rsidR="00B245ED" w:rsidRPr="00B245ED" w:rsidRDefault="00B245ED" w:rsidP="00B245ED">
            <w:pPr>
              <w:spacing w:line="276" w:lineRule="auto"/>
              <w:rPr>
                <w:rFonts w:ascii="Times New Roman" w:hAnsi="Times New Roman" w:cs="Times New Roman"/>
                <w:sz w:val="20"/>
                <w:szCs w:val="20"/>
              </w:rPr>
            </w:pPr>
            <w:r w:rsidRPr="00B245ED">
              <w:rPr>
                <w:rFonts w:ascii="Times New Roman" w:hAnsi="Times New Roman" w:cs="Times New Roman"/>
                <w:b/>
                <w:sz w:val="20"/>
                <w:szCs w:val="20"/>
              </w:rPr>
              <w:t>Kriteri 4:</w:t>
            </w:r>
            <w:r w:rsidRPr="00B245ED">
              <w:rPr>
                <w:rFonts w:ascii="Times New Roman" w:hAnsi="Times New Roman" w:cs="Times New Roman"/>
                <w:sz w:val="20"/>
                <w:szCs w:val="20"/>
              </w:rPr>
              <w:t xml:space="preserve"> Institucioni mund të organizojë programe të përbashkëta të studimeve specializuese afatgjata me një a më shumë institucione të tjera, të njohura/akredituar</w:t>
            </w:r>
            <w:r w:rsidR="004E47AC">
              <w:rPr>
                <w:rFonts w:ascii="Times New Roman" w:hAnsi="Times New Roman" w:cs="Times New Roman"/>
                <w:sz w:val="20"/>
                <w:szCs w:val="20"/>
              </w:rPr>
              <w:t>a sipas legjislacionit ne fuqi.</w:t>
            </w:r>
          </w:p>
        </w:tc>
        <w:tc>
          <w:tcPr>
            <w:tcW w:w="6461" w:type="dxa"/>
            <w:gridSpan w:val="4"/>
          </w:tcPr>
          <w:p w:rsidR="00B245ED" w:rsidRPr="00500475" w:rsidRDefault="00B245ED" w:rsidP="00243BA4">
            <w:pPr>
              <w:spacing w:line="276" w:lineRule="auto"/>
              <w:jc w:val="both"/>
              <w:rPr>
                <w:rFonts w:ascii="Times New Roman" w:hAnsi="Times New Roman" w:cs="Times New Roman"/>
                <w:b/>
              </w:rPr>
            </w:pPr>
          </w:p>
        </w:tc>
      </w:tr>
      <w:tr w:rsidR="00C1352C" w:rsidRPr="00500475" w:rsidTr="00D832FD">
        <w:trPr>
          <w:trHeight w:val="315"/>
        </w:trPr>
        <w:tc>
          <w:tcPr>
            <w:tcW w:w="3259" w:type="dxa"/>
            <w:vMerge w:val="restart"/>
            <w:shd w:val="clear" w:color="auto" w:fill="F7CAAC" w:themeFill="accent2" w:themeFillTint="66"/>
          </w:tcPr>
          <w:p w:rsidR="00C1352C" w:rsidRPr="00500475" w:rsidRDefault="00C1352C" w:rsidP="00243BA4">
            <w:pPr>
              <w:spacing w:line="276" w:lineRule="auto"/>
              <w:rPr>
                <w:rFonts w:ascii="Times New Roman" w:hAnsi="Times New Roman" w:cs="Times New Roman"/>
                <w:b/>
              </w:rPr>
            </w:pPr>
            <w:r w:rsidRPr="00500475">
              <w:rPr>
                <w:rFonts w:ascii="Times New Roman" w:hAnsi="Times New Roman" w:cs="Times New Roman"/>
                <w:b/>
              </w:rPr>
              <w:t>Shkalla e përmbushjes së standardit</w:t>
            </w:r>
          </w:p>
        </w:tc>
        <w:tc>
          <w:tcPr>
            <w:tcW w:w="1421" w:type="dxa"/>
            <w:shd w:val="clear" w:color="auto" w:fill="FF00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Nuk përmbushet</w:t>
            </w:r>
          </w:p>
        </w:tc>
        <w:tc>
          <w:tcPr>
            <w:tcW w:w="1530" w:type="dxa"/>
            <w:shd w:val="clear" w:color="auto" w:fill="FF66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pjesërisht</w:t>
            </w:r>
          </w:p>
        </w:tc>
        <w:tc>
          <w:tcPr>
            <w:tcW w:w="1620" w:type="dxa"/>
            <w:shd w:val="clear" w:color="auto" w:fill="CCCC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kryesisht</w:t>
            </w:r>
          </w:p>
        </w:tc>
        <w:tc>
          <w:tcPr>
            <w:tcW w:w="1890" w:type="dxa"/>
            <w:shd w:val="clear" w:color="auto" w:fill="92D05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plotësisht</w:t>
            </w:r>
          </w:p>
        </w:tc>
      </w:tr>
      <w:tr w:rsidR="00C1352C" w:rsidRPr="00500475" w:rsidTr="00D832FD">
        <w:trPr>
          <w:trHeight w:val="315"/>
        </w:trPr>
        <w:tc>
          <w:tcPr>
            <w:tcW w:w="3259" w:type="dxa"/>
            <w:vMerge/>
            <w:shd w:val="clear" w:color="auto" w:fill="F7CAAC" w:themeFill="accent2" w:themeFillTint="66"/>
          </w:tcPr>
          <w:p w:rsidR="00C1352C" w:rsidRPr="00500475" w:rsidRDefault="00C1352C" w:rsidP="00243BA4">
            <w:pPr>
              <w:spacing w:line="276" w:lineRule="auto"/>
              <w:rPr>
                <w:rFonts w:ascii="Times New Roman" w:hAnsi="Times New Roman" w:cs="Times New Roman"/>
                <w:b/>
              </w:rPr>
            </w:pPr>
          </w:p>
        </w:tc>
        <w:tc>
          <w:tcPr>
            <w:tcW w:w="1421" w:type="dxa"/>
          </w:tcPr>
          <w:p w:rsidR="00C1352C" w:rsidRPr="00500475" w:rsidRDefault="00C1352C" w:rsidP="00243BA4">
            <w:pPr>
              <w:spacing w:line="276" w:lineRule="auto"/>
              <w:jc w:val="both"/>
              <w:rPr>
                <w:rFonts w:ascii="Times New Roman" w:hAnsi="Times New Roman" w:cs="Times New Roman"/>
                <w:b/>
              </w:rPr>
            </w:pPr>
          </w:p>
        </w:tc>
        <w:tc>
          <w:tcPr>
            <w:tcW w:w="1530" w:type="dxa"/>
          </w:tcPr>
          <w:p w:rsidR="00C1352C" w:rsidRPr="00500475" w:rsidRDefault="00C1352C" w:rsidP="00243BA4">
            <w:pPr>
              <w:spacing w:line="276" w:lineRule="auto"/>
              <w:jc w:val="both"/>
              <w:rPr>
                <w:rFonts w:ascii="Times New Roman" w:hAnsi="Times New Roman" w:cs="Times New Roman"/>
                <w:b/>
              </w:rPr>
            </w:pPr>
          </w:p>
        </w:tc>
        <w:tc>
          <w:tcPr>
            <w:tcW w:w="1620" w:type="dxa"/>
          </w:tcPr>
          <w:p w:rsidR="00C1352C" w:rsidRPr="00500475" w:rsidRDefault="00C1352C" w:rsidP="00243BA4">
            <w:pPr>
              <w:spacing w:line="276" w:lineRule="auto"/>
              <w:jc w:val="both"/>
              <w:rPr>
                <w:rFonts w:ascii="Times New Roman" w:hAnsi="Times New Roman" w:cs="Times New Roman"/>
                <w:b/>
              </w:rPr>
            </w:pPr>
          </w:p>
        </w:tc>
        <w:tc>
          <w:tcPr>
            <w:tcW w:w="1890" w:type="dxa"/>
          </w:tcPr>
          <w:p w:rsidR="00C1352C" w:rsidRPr="00500475" w:rsidRDefault="00C1352C" w:rsidP="00243BA4">
            <w:pPr>
              <w:spacing w:line="276" w:lineRule="auto"/>
              <w:jc w:val="both"/>
              <w:rPr>
                <w:rFonts w:ascii="Times New Roman" w:hAnsi="Times New Roman" w:cs="Times New Roman"/>
                <w:b/>
              </w:rPr>
            </w:pPr>
          </w:p>
        </w:tc>
      </w:tr>
    </w:tbl>
    <w:p w:rsidR="00BA509A" w:rsidRPr="000260C2" w:rsidRDefault="00BA509A" w:rsidP="000260C2">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240"/>
        <w:gridCol w:w="1440"/>
        <w:gridCol w:w="1530"/>
        <w:gridCol w:w="1620"/>
        <w:gridCol w:w="1890"/>
      </w:tblGrid>
      <w:tr w:rsidR="00C1352C" w:rsidRPr="00500475" w:rsidTr="00D832FD">
        <w:tc>
          <w:tcPr>
            <w:tcW w:w="9720" w:type="dxa"/>
            <w:gridSpan w:val="5"/>
            <w:shd w:val="clear" w:color="auto" w:fill="F7CAAC" w:themeFill="accent2" w:themeFillTint="66"/>
          </w:tcPr>
          <w:p w:rsidR="00C1352C" w:rsidRPr="00500475" w:rsidRDefault="00C1352C" w:rsidP="00243BA4">
            <w:pPr>
              <w:spacing w:line="276" w:lineRule="auto"/>
              <w:jc w:val="both"/>
              <w:rPr>
                <w:rFonts w:ascii="Times New Roman" w:hAnsi="Times New Roman" w:cs="Times New Roman"/>
                <w:b/>
                <w:lang w:val="sq-AL"/>
              </w:rPr>
            </w:pPr>
            <w:r w:rsidRPr="00500475">
              <w:rPr>
                <w:rFonts w:ascii="Times New Roman" w:hAnsi="Times New Roman" w:cs="Times New Roman"/>
                <w:b/>
                <w:lang w:val="sq-AL"/>
              </w:rPr>
              <w:t xml:space="preserve">Standardi III.3  </w:t>
            </w:r>
          </w:p>
          <w:p w:rsidR="00C1352C" w:rsidRPr="00500475" w:rsidRDefault="00B245ED" w:rsidP="00243BA4">
            <w:pPr>
              <w:spacing w:line="276" w:lineRule="auto"/>
              <w:jc w:val="both"/>
              <w:rPr>
                <w:rFonts w:ascii="Times New Roman" w:hAnsi="Times New Roman" w:cs="Times New Roman"/>
                <w:b/>
              </w:rPr>
            </w:pPr>
            <w:r w:rsidRPr="00B245ED">
              <w:rPr>
                <w:rFonts w:ascii="Times New Roman" w:hAnsi="Times New Roman" w:cs="Times New Roman"/>
                <w:b/>
                <w:lang w:val="sq-AL"/>
              </w:rPr>
              <w:t>Institucioni mund të ofrojë programe mësimdhënieje në gjuhë të huaj, me një personel akademik të kualifikuar.</w:t>
            </w:r>
          </w:p>
        </w:tc>
      </w:tr>
      <w:tr w:rsidR="00C1352C" w:rsidRPr="00500475" w:rsidTr="00D832FD">
        <w:trPr>
          <w:trHeight w:val="395"/>
        </w:trPr>
        <w:tc>
          <w:tcPr>
            <w:tcW w:w="3240" w:type="dxa"/>
            <w:shd w:val="clear" w:color="auto" w:fill="C5E0B3" w:themeFill="accent6" w:themeFillTint="66"/>
          </w:tcPr>
          <w:p w:rsidR="00C1352C" w:rsidRPr="00500475" w:rsidRDefault="00C1352C" w:rsidP="00243BA4">
            <w:pPr>
              <w:spacing w:line="276" w:lineRule="auto"/>
              <w:jc w:val="both"/>
              <w:rPr>
                <w:rFonts w:ascii="Times New Roman" w:eastAsia="Times New Roman" w:hAnsi="Times New Roman" w:cs="Times New Roman"/>
                <w:b/>
                <w:bCs/>
                <w:lang w:val="sq-AL"/>
              </w:rPr>
            </w:pPr>
            <w:r w:rsidRPr="00500475">
              <w:rPr>
                <w:rFonts w:ascii="Times New Roman" w:eastAsia="Times New Roman" w:hAnsi="Times New Roman" w:cs="Times New Roman"/>
                <w:b/>
                <w:bCs/>
                <w:lang w:val="sq-AL"/>
              </w:rPr>
              <w:t>Kriteret</w:t>
            </w:r>
          </w:p>
        </w:tc>
        <w:tc>
          <w:tcPr>
            <w:tcW w:w="6480" w:type="dxa"/>
            <w:gridSpan w:val="4"/>
            <w:shd w:val="clear" w:color="auto" w:fill="C5E0B3" w:themeFill="accent6" w:themeFillTint="66"/>
          </w:tcPr>
          <w:p w:rsidR="00C1352C" w:rsidRPr="00500475" w:rsidRDefault="00C1352C" w:rsidP="000260C2">
            <w:pPr>
              <w:spacing w:line="276" w:lineRule="auto"/>
              <w:jc w:val="center"/>
              <w:rPr>
                <w:rFonts w:ascii="Times New Roman" w:eastAsia="Times New Roman" w:hAnsi="Times New Roman" w:cs="Times New Roman"/>
                <w:b/>
                <w:bCs/>
                <w:lang w:val="sq-AL"/>
              </w:rPr>
            </w:pPr>
            <w:r w:rsidRPr="00500475">
              <w:rPr>
                <w:rFonts w:ascii="Times New Roman" w:eastAsia="Times New Roman" w:hAnsi="Times New Roman" w:cs="Times New Roman"/>
                <w:b/>
                <w:bCs/>
                <w:lang w:val="sq-AL"/>
              </w:rPr>
              <w:t>Vlerësimi i ekspertëve</w:t>
            </w:r>
          </w:p>
        </w:tc>
      </w:tr>
      <w:tr w:rsidR="00BA509A" w:rsidRPr="00500475" w:rsidTr="00D832FD">
        <w:tc>
          <w:tcPr>
            <w:tcW w:w="3240" w:type="dxa"/>
          </w:tcPr>
          <w:p w:rsidR="00BA509A" w:rsidRPr="00B245ED" w:rsidRDefault="00B245ED" w:rsidP="000260C2">
            <w:pPr>
              <w:spacing w:line="276" w:lineRule="auto"/>
              <w:rPr>
                <w:rFonts w:ascii="Times New Roman" w:hAnsi="Times New Roman" w:cs="Times New Roman"/>
                <w:sz w:val="20"/>
                <w:szCs w:val="20"/>
              </w:rPr>
            </w:pPr>
            <w:r w:rsidRPr="00B245ED">
              <w:rPr>
                <w:rFonts w:ascii="Times New Roman" w:hAnsi="Times New Roman" w:cs="Times New Roman"/>
                <w:b/>
                <w:sz w:val="20"/>
                <w:szCs w:val="20"/>
              </w:rPr>
              <w:t>Kriteri 1:</w:t>
            </w:r>
            <w:r w:rsidRPr="00B245ED">
              <w:rPr>
                <w:rFonts w:ascii="Times New Roman" w:hAnsi="Times New Roman" w:cs="Times New Roman"/>
                <w:sz w:val="20"/>
                <w:szCs w:val="20"/>
              </w:rPr>
              <w:t xml:space="preserve"> Institucioni, që ofron programe mësimdhënie në gjuhë të huaj, plotëson të njëjtat standarde të përcaktuara për IAL-të që ofrojnë programet e studimeve specializuese të fushës</w:t>
            </w:r>
            <w:r w:rsidR="000260C2">
              <w:rPr>
                <w:rFonts w:ascii="Times New Roman" w:hAnsi="Times New Roman" w:cs="Times New Roman"/>
                <w:sz w:val="20"/>
                <w:szCs w:val="20"/>
              </w:rPr>
              <w:t xml:space="preserve"> së mjekësisë në gjuhën shqipe.</w:t>
            </w: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D832FD">
        <w:tc>
          <w:tcPr>
            <w:tcW w:w="3240" w:type="dxa"/>
          </w:tcPr>
          <w:p w:rsidR="00BA509A" w:rsidRPr="00B245ED" w:rsidRDefault="00B245ED" w:rsidP="000260C2">
            <w:pPr>
              <w:spacing w:line="276" w:lineRule="auto"/>
              <w:rPr>
                <w:rFonts w:ascii="Times New Roman" w:hAnsi="Times New Roman" w:cs="Times New Roman"/>
                <w:sz w:val="20"/>
                <w:szCs w:val="20"/>
              </w:rPr>
            </w:pPr>
            <w:r w:rsidRPr="00B245ED">
              <w:rPr>
                <w:rFonts w:ascii="Times New Roman" w:hAnsi="Times New Roman" w:cs="Times New Roman"/>
                <w:b/>
                <w:sz w:val="20"/>
                <w:szCs w:val="20"/>
              </w:rPr>
              <w:t>Kriteri 2:</w:t>
            </w:r>
            <w:r w:rsidRPr="00B245ED">
              <w:rPr>
                <w:rFonts w:ascii="Times New Roman" w:hAnsi="Times New Roman" w:cs="Times New Roman"/>
                <w:sz w:val="20"/>
                <w:szCs w:val="20"/>
              </w:rPr>
              <w:t xml:space="preserve"> Personeli akademik që angazhohet në mësimdhënie në gjuhë të huaj disponon një certifikatë për njohje të gjuhës së mësimdhënies të njohur ndërkombëtarisht, sipas kuadrit ligjor në fuqi.</w:t>
            </w: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C1352C" w:rsidRPr="00500475" w:rsidTr="00D832FD">
        <w:trPr>
          <w:trHeight w:val="315"/>
        </w:trPr>
        <w:tc>
          <w:tcPr>
            <w:tcW w:w="3240" w:type="dxa"/>
            <w:vMerge w:val="restart"/>
            <w:shd w:val="clear" w:color="auto" w:fill="F7CAAC" w:themeFill="accent2" w:themeFillTint="66"/>
          </w:tcPr>
          <w:p w:rsidR="00C1352C" w:rsidRPr="00500475" w:rsidRDefault="00C1352C" w:rsidP="00243BA4">
            <w:pPr>
              <w:spacing w:line="276" w:lineRule="auto"/>
              <w:rPr>
                <w:rFonts w:ascii="Times New Roman" w:hAnsi="Times New Roman" w:cs="Times New Roman"/>
                <w:b/>
              </w:rPr>
            </w:pPr>
            <w:r w:rsidRPr="00500475">
              <w:rPr>
                <w:rFonts w:ascii="Times New Roman" w:hAnsi="Times New Roman" w:cs="Times New Roman"/>
                <w:b/>
              </w:rPr>
              <w:t>Shkalla e përmbushjes së standardit</w:t>
            </w:r>
          </w:p>
        </w:tc>
        <w:tc>
          <w:tcPr>
            <w:tcW w:w="1440" w:type="dxa"/>
            <w:shd w:val="clear" w:color="auto" w:fill="FF00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Nuk përmbushet</w:t>
            </w:r>
          </w:p>
        </w:tc>
        <w:tc>
          <w:tcPr>
            <w:tcW w:w="1530" w:type="dxa"/>
            <w:shd w:val="clear" w:color="auto" w:fill="FF66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pjesërisht</w:t>
            </w:r>
          </w:p>
        </w:tc>
        <w:tc>
          <w:tcPr>
            <w:tcW w:w="1620" w:type="dxa"/>
            <w:shd w:val="clear" w:color="auto" w:fill="CCCC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krye</w:t>
            </w:r>
            <w:r w:rsidRPr="00500475">
              <w:rPr>
                <w:rFonts w:ascii="Times New Roman" w:hAnsi="Times New Roman" w:cs="Times New Roman"/>
                <w:b/>
                <w:shd w:val="clear" w:color="auto" w:fill="CCCC00"/>
              </w:rPr>
              <w:t>s</w:t>
            </w:r>
            <w:r w:rsidRPr="00500475">
              <w:rPr>
                <w:rFonts w:ascii="Times New Roman" w:hAnsi="Times New Roman" w:cs="Times New Roman"/>
                <w:b/>
              </w:rPr>
              <w:t>isht</w:t>
            </w:r>
          </w:p>
        </w:tc>
        <w:tc>
          <w:tcPr>
            <w:tcW w:w="1890" w:type="dxa"/>
            <w:shd w:val="clear" w:color="auto" w:fill="92D05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plotësisht</w:t>
            </w:r>
          </w:p>
        </w:tc>
      </w:tr>
      <w:tr w:rsidR="00C1352C" w:rsidRPr="00500475" w:rsidTr="00B100A2">
        <w:trPr>
          <w:trHeight w:val="315"/>
        </w:trPr>
        <w:tc>
          <w:tcPr>
            <w:tcW w:w="3240" w:type="dxa"/>
            <w:vMerge/>
            <w:shd w:val="clear" w:color="auto" w:fill="F7CAAC" w:themeFill="accent2" w:themeFillTint="66"/>
          </w:tcPr>
          <w:p w:rsidR="00C1352C" w:rsidRPr="00500475" w:rsidRDefault="00C1352C" w:rsidP="00243BA4">
            <w:pPr>
              <w:spacing w:line="276" w:lineRule="auto"/>
              <w:rPr>
                <w:rFonts w:ascii="Times New Roman" w:hAnsi="Times New Roman" w:cs="Times New Roman"/>
                <w:b/>
              </w:rPr>
            </w:pPr>
          </w:p>
        </w:tc>
        <w:tc>
          <w:tcPr>
            <w:tcW w:w="1440" w:type="dxa"/>
          </w:tcPr>
          <w:p w:rsidR="00C1352C" w:rsidRPr="00500475" w:rsidRDefault="00C1352C" w:rsidP="00243BA4">
            <w:pPr>
              <w:spacing w:line="276" w:lineRule="auto"/>
              <w:jc w:val="both"/>
              <w:rPr>
                <w:rFonts w:ascii="Times New Roman" w:hAnsi="Times New Roman" w:cs="Times New Roman"/>
                <w:b/>
              </w:rPr>
            </w:pPr>
          </w:p>
        </w:tc>
        <w:tc>
          <w:tcPr>
            <w:tcW w:w="1530" w:type="dxa"/>
          </w:tcPr>
          <w:p w:rsidR="00C1352C" w:rsidRPr="00500475" w:rsidRDefault="00C1352C" w:rsidP="00243BA4">
            <w:pPr>
              <w:spacing w:line="276" w:lineRule="auto"/>
              <w:jc w:val="both"/>
              <w:rPr>
                <w:rFonts w:ascii="Times New Roman" w:hAnsi="Times New Roman" w:cs="Times New Roman"/>
                <w:b/>
              </w:rPr>
            </w:pPr>
          </w:p>
        </w:tc>
        <w:tc>
          <w:tcPr>
            <w:tcW w:w="1620" w:type="dxa"/>
          </w:tcPr>
          <w:p w:rsidR="00C1352C" w:rsidRPr="00500475" w:rsidRDefault="00C1352C" w:rsidP="00243BA4">
            <w:pPr>
              <w:spacing w:line="276" w:lineRule="auto"/>
              <w:jc w:val="both"/>
              <w:rPr>
                <w:rFonts w:ascii="Times New Roman" w:hAnsi="Times New Roman" w:cs="Times New Roman"/>
                <w:b/>
              </w:rPr>
            </w:pPr>
          </w:p>
        </w:tc>
        <w:tc>
          <w:tcPr>
            <w:tcW w:w="1890" w:type="dxa"/>
          </w:tcPr>
          <w:p w:rsidR="00C1352C" w:rsidRPr="00500475" w:rsidRDefault="00C1352C" w:rsidP="00243BA4">
            <w:pPr>
              <w:spacing w:line="276" w:lineRule="auto"/>
              <w:jc w:val="both"/>
              <w:rPr>
                <w:rFonts w:ascii="Times New Roman" w:hAnsi="Times New Roman" w:cs="Times New Roman"/>
                <w:b/>
              </w:rPr>
            </w:pPr>
          </w:p>
        </w:tc>
      </w:tr>
    </w:tbl>
    <w:p w:rsidR="00B100A2" w:rsidRPr="000260C2" w:rsidRDefault="00B100A2" w:rsidP="000260C2">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204"/>
        <w:gridCol w:w="1476"/>
        <w:gridCol w:w="1590"/>
        <w:gridCol w:w="1725"/>
        <w:gridCol w:w="1725"/>
      </w:tblGrid>
      <w:tr w:rsidR="00C1352C" w:rsidRPr="00500475" w:rsidTr="00243BA4">
        <w:tc>
          <w:tcPr>
            <w:tcW w:w="9720" w:type="dxa"/>
            <w:gridSpan w:val="5"/>
            <w:shd w:val="clear" w:color="auto" w:fill="F7CAAC" w:themeFill="accent2" w:themeFillTint="66"/>
          </w:tcPr>
          <w:p w:rsidR="00C1352C" w:rsidRPr="00500475" w:rsidRDefault="00C1352C" w:rsidP="00243BA4">
            <w:pPr>
              <w:ind w:left="1843" w:hanging="1843"/>
              <w:jc w:val="both"/>
              <w:rPr>
                <w:rFonts w:ascii="Times New Roman" w:hAnsi="Times New Roman" w:cs="Times New Roman"/>
                <w:b/>
                <w:lang w:val="sq-AL"/>
              </w:rPr>
            </w:pPr>
            <w:r w:rsidRPr="00500475">
              <w:rPr>
                <w:rFonts w:ascii="Times New Roman" w:hAnsi="Times New Roman" w:cs="Times New Roman"/>
                <w:b/>
                <w:lang w:val="sq-AL"/>
              </w:rPr>
              <w:t>Standardi III.4</w:t>
            </w:r>
            <w:r w:rsidRPr="00500475">
              <w:rPr>
                <w:rFonts w:ascii="Times New Roman" w:hAnsi="Times New Roman" w:cs="Times New Roman"/>
                <w:b/>
                <w:lang w:val="sq-AL"/>
              </w:rPr>
              <w:tab/>
            </w:r>
          </w:p>
          <w:p w:rsidR="00C1352C" w:rsidRPr="00500475" w:rsidRDefault="00B245ED" w:rsidP="0009010A">
            <w:pPr>
              <w:jc w:val="both"/>
              <w:rPr>
                <w:rFonts w:ascii="Times New Roman" w:hAnsi="Times New Roman" w:cs="Times New Roman"/>
                <w:b/>
                <w:color w:val="000000" w:themeColor="text1"/>
              </w:rPr>
            </w:pPr>
            <w:r w:rsidRPr="00B245ED">
              <w:rPr>
                <w:rFonts w:ascii="Times New Roman" w:eastAsia="Times New Roman" w:hAnsi="Times New Roman" w:cs="Times New Roman"/>
                <w:b/>
                <w:bCs/>
                <w:lang w:val="sq-AL"/>
              </w:rPr>
              <w:lastRenderedPageBreak/>
              <w:t>Strukturat e përfshira duhet të disponojnë standardet e përgjithshme dhe specifike të parashikuara</w:t>
            </w:r>
            <w:r>
              <w:rPr>
                <w:rFonts w:ascii="Times New Roman" w:eastAsia="Times New Roman" w:hAnsi="Times New Roman" w:cs="Times New Roman"/>
                <w:b/>
                <w:bCs/>
                <w:lang w:val="sq-AL"/>
              </w:rPr>
              <w:t>.</w:t>
            </w:r>
          </w:p>
        </w:tc>
      </w:tr>
      <w:tr w:rsidR="00C1352C" w:rsidRPr="00500475" w:rsidTr="00C1514A">
        <w:trPr>
          <w:trHeight w:val="332"/>
        </w:trPr>
        <w:tc>
          <w:tcPr>
            <w:tcW w:w="3204" w:type="dxa"/>
            <w:shd w:val="clear" w:color="auto" w:fill="C5E0B3" w:themeFill="accent6" w:themeFillTint="66"/>
          </w:tcPr>
          <w:p w:rsidR="00C1352C" w:rsidRPr="00500475" w:rsidRDefault="00C1352C" w:rsidP="00243BA4">
            <w:pPr>
              <w:spacing w:line="276" w:lineRule="auto"/>
              <w:jc w:val="both"/>
              <w:rPr>
                <w:rFonts w:ascii="Times New Roman" w:eastAsia="Times New Roman" w:hAnsi="Times New Roman" w:cs="Times New Roman"/>
                <w:b/>
                <w:bCs/>
                <w:lang w:val="sq-AL"/>
              </w:rPr>
            </w:pPr>
            <w:r w:rsidRPr="00500475">
              <w:rPr>
                <w:rFonts w:ascii="Times New Roman" w:eastAsia="Times New Roman" w:hAnsi="Times New Roman" w:cs="Times New Roman"/>
                <w:b/>
                <w:bCs/>
                <w:lang w:val="sq-AL"/>
              </w:rPr>
              <w:lastRenderedPageBreak/>
              <w:t>Kriteret</w:t>
            </w:r>
          </w:p>
        </w:tc>
        <w:tc>
          <w:tcPr>
            <w:tcW w:w="6516" w:type="dxa"/>
            <w:gridSpan w:val="4"/>
            <w:shd w:val="clear" w:color="auto" w:fill="C5E0B3" w:themeFill="accent6" w:themeFillTint="66"/>
          </w:tcPr>
          <w:p w:rsidR="00C1352C" w:rsidRPr="00500475" w:rsidRDefault="00C1352C" w:rsidP="000260C2">
            <w:pPr>
              <w:spacing w:line="276" w:lineRule="auto"/>
              <w:jc w:val="center"/>
              <w:rPr>
                <w:rFonts w:ascii="Times New Roman" w:eastAsia="Times New Roman" w:hAnsi="Times New Roman" w:cs="Times New Roman"/>
                <w:b/>
                <w:bCs/>
                <w:lang w:val="sq-AL"/>
              </w:rPr>
            </w:pPr>
            <w:r w:rsidRPr="00500475">
              <w:rPr>
                <w:rFonts w:ascii="Times New Roman" w:eastAsia="Times New Roman" w:hAnsi="Times New Roman" w:cs="Times New Roman"/>
                <w:b/>
                <w:bCs/>
                <w:lang w:val="sq-AL"/>
              </w:rPr>
              <w:t>Vlerësimi i ekspertëve</w:t>
            </w:r>
          </w:p>
        </w:tc>
      </w:tr>
      <w:tr w:rsidR="00BA509A" w:rsidRPr="00500475" w:rsidTr="00C1514A">
        <w:tc>
          <w:tcPr>
            <w:tcW w:w="3204" w:type="dxa"/>
          </w:tcPr>
          <w:p w:rsidR="00587D8A" w:rsidRPr="00587D8A" w:rsidRDefault="00587D8A" w:rsidP="00587D8A">
            <w:pPr>
              <w:spacing w:line="276" w:lineRule="auto"/>
              <w:rPr>
                <w:rFonts w:ascii="Times New Roman" w:hAnsi="Times New Roman" w:cs="Times New Roman"/>
                <w:sz w:val="20"/>
                <w:szCs w:val="20"/>
              </w:rPr>
            </w:pPr>
            <w:r w:rsidRPr="00587D8A">
              <w:rPr>
                <w:rFonts w:ascii="Times New Roman" w:hAnsi="Times New Roman" w:cs="Times New Roman"/>
                <w:b/>
                <w:sz w:val="20"/>
                <w:szCs w:val="20"/>
              </w:rPr>
              <w:t>Kriteri 1:</w:t>
            </w:r>
            <w:r w:rsidRPr="00587D8A">
              <w:rPr>
                <w:rFonts w:ascii="Times New Roman" w:hAnsi="Times New Roman" w:cs="Times New Roman"/>
                <w:sz w:val="20"/>
                <w:szCs w:val="20"/>
              </w:rPr>
              <w:t xml:space="preserve"> Strukturat qendrore dhe dytësore disponojnë standarde të përgjithshme në përputhje   me   kapacitetin   infrastrukturor,  teknologjik,   organizativ   dhe asistencial sipas  kritereve  të  mëposhtme  dhe  sipas  kritereve  specifike  të parashikuara në shtojcën 2:</w:t>
            </w:r>
          </w:p>
          <w:p w:rsidR="00587D8A" w:rsidRPr="00587D8A" w:rsidRDefault="00587D8A" w:rsidP="00587D8A">
            <w:pPr>
              <w:spacing w:line="276" w:lineRule="auto"/>
              <w:rPr>
                <w:rFonts w:ascii="Times New Roman" w:hAnsi="Times New Roman" w:cs="Times New Roman"/>
                <w:sz w:val="20"/>
                <w:szCs w:val="20"/>
              </w:rPr>
            </w:pPr>
            <w:r w:rsidRPr="00587D8A">
              <w:rPr>
                <w:rFonts w:ascii="Times New Roman" w:hAnsi="Times New Roman" w:cs="Times New Roman"/>
                <w:sz w:val="20"/>
                <w:szCs w:val="20"/>
              </w:rPr>
              <w:t>a. Kapaciteti infrastrukturor: hapësira të mjaftueshme për ushtrimin e funksioneve të parashikuara;</w:t>
            </w:r>
          </w:p>
          <w:p w:rsidR="00587D8A" w:rsidRPr="00587D8A" w:rsidRDefault="00587D8A" w:rsidP="00587D8A">
            <w:pPr>
              <w:spacing w:line="276" w:lineRule="auto"/>
              <w:rPr>
                <w:rFonts w:ascii="Times New Roman" w:hAnsi="Times New Roman" w:cs="Times New Roman"/>
                <w:sz w:val="20"/>
                <w:szCs w:val="20"/>
              </w:rPr>
            </w:pPr>
            <w:r w:rsidRPr="00587D8A">
              <w:rPr>
                <w:rFonts w:ascii="Times New Roman" w:hAnsi="Times New Roman" w:cs="Times New Roman"/>
                <w:sz w:val="20"/>
                <w:szCs w:val="20"/>
              </w:rPr>
              <w:t>b.   Kapaciteti  teknologjik: pajisje të nevojshme për ushtrimin e funksioneve të parashikuara;</w:t>
            </w:r>
          </w:p>
          <w:p w:rsidR="00587D8A" w:rsidRPr="00587D8A" w:rsidRDefault="00587D8A" w:rsidP="00587D8A">
            <w:pPr>
              <w:spacing w:line="276" w:lineRule="auto"/>
              <w:rPr>
                <w:rFonts w:ascii="Times New Roman" w:hAnsi="Times New Roman" w:cs="Times New Roman"/>
                <w:sz w:val="20"/>
                <w:szCs w:val="20"/>
              </w:rPr>
            </w:pPr>
            <w:r w:rsidRPr="00587D8A">
              <w:rPr>
                <w:rFonts w:ascii="Times New Roman" w:hAnsi="Times New Roman" w:cs="Times New Roman"/>
                <w:sz w:val="20"/>
                <w:szCs w:val="20"/>
              </w:rPr>
              <w:t>c.   Kapaciteti organizativ: kompetenca të nevojshme profesionale;</w:t>
            </w:r>
          </w:p>
          <w:p w:rsidR="00BA509A" w:rsidRPr="00587D8A" w:rsidRDefault="00587D8A" w:rsidP="000260C2">
            <w:pPr>
              <w:spacing w:line="276" w:lineRule="auto"/>
              <w:rPr>
                <w:rFonts w:ascii="Times New Roman" w:hAnsi="Times New Roman" w:cs="Times New Roman"/>
                <w:sz w:val="20"/>
                <w:szCs w:val="20"/>
              </w:rPr>
            </w:pPr>
            <w:r w:rsidRPr="00587D8A">
              <w:rPr>
                <w:rFonts w:ascii="Times New Roman" w:hAnsi="Times New Roman" w:cs="Times New Roman"/>
                <w:sz w:val="20"/>
                <w:szCs w:val="20"/>
              </w:rPr>
              <w:t>d.   Kapaciteti asistencial: sasi dhe tipologji të caktuar të ndërh</w:t>
            </w:r>
            <w:r w:rsidR="000260C2">
              <w:rPr>
                <w:rFonts w:ascii="Times New Roman" w:hAnsi="Times New Roman" w:cs="Times New Roman"/>
                <w:sz w:val="20"/>
                <w:szCs w:val="20"/>
              </w:rPr>
              <w:t>yrjeve klinike.</w:t>
            </w:r>
          </w:p>
        </w:tc>
        <w:tc>
          <w:tcPr>
            <w:tcW w:w="6516"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C1514A">
        <w:tc>
          <w:tcPr>
            <w:tcW w:w="3204" w:type="dxa"/>
          </w:tcPr>
          <w:p w:rsidR="00BA509A" w:rsidRPr="00587D8A" w:rsidRDefault="00587D8A" w:rsidP="000260C2">
            <w:pPr>
              <w:spacing w:line="276" w:lineRule="auto"/>
              <w:rPr>
                <w:rFonts w:ascii="Times New Roman" w:hAnsi="Times New Roman" w:cs="Times New Roman"/>
                <w:sz w:val="20"/>
                <w:szCs w:val="20"/>
              </w:rPr>
            </w:pPr>
            <w:r w:rsidRPr="00790326">
              <w:rPr>
                <w:rFonts w:ascii="Times New Roman" w:hAnsi="Times New Roman" w:cs="Times New Roman"/>
                <w:b/>
                <w:sz w:val="20"/>
                <w:szCs w:val="20"/>
              </w:rPr>
              <w:t>Kriteri 2:</w:t>
            </w:r>
            <w:r w:rsidRPr="00587D8A">
              <w:rPr>
                <w:rFonts w:ascii="Times New Roman" w:hAnsi="Times New Roman" w:cs="Times New Roman"/>
                <w:sz w:val="20"/>
                <w:szCs w:val="20"/>
              </w:rPr>
              <w:t xml:space="preserve"> </w:t>
            </w:r>
            <w:r w:rsidR="00790326" w:rsidRPr="00587D8A">
              <w:rPr>
                <w:rFonts w:ascii="Times New Roman" w:hAnsi="Times New Roman" w:cs="Times New Roman"/>
                <w:sz w:val="20"/>
                <w:szCs w:val="20"/>
              </w:rPr>
              <w:t>Të gjitha strukturat (</w:t>
            </w:r>
            <w:r w:rsidRPr="00587D8A">
              <w:rPr>
                <w:rFonts w:ascii="Times New Roman" w:hAnsi="Times New Roman" w:cs="Times New Roman"/>
                <w:sz w:val="20"/>
                <w:szCs w:val="20"/>
              </w:rPr>
              <w:t xml:space="preserve">psh.  </w:t>
            </w:r>
            <w:r w:rsidR="00790326" w:rsidRPr="00587D8A">
              <w:rPr>
                <w:rFonts w:ascii="Times New Roman" w:hAnsi="Times New Roman" w:cs="Times New Roman"/>
                <w:sz w:val="20"/>
                <w:szCs w:val="20"/>
              </w:rPr>
              <w:t>Auditorët, biblioteka, sekretaritë, etj</w:t>
            </w:r>
            <w:r w:rsidRPr="00587D8A">
              <w:rPr>
                <w:rFonts w:ascii="Times New Roman" w:hAnsi="Times New Roman" w:cs="Times New Roman"/>
                <w:sz w:val="20"/>
                <w:szCs w:val="20"/>
              </w:rPr>
              <w:t xml:space="preserve">.) </w:t>
            </w:r>
            <w:r w:rsidR="00790326" w:rsidRPr="00587D8A">
              <w:rPr>
                <w:rFonts w:ascii="Times New Roman" w:hAnsi="Times New Roman" w:cs="Times New Roman"/>
                <w:sz w:val="20"/>
                <w:szCs w:val="20"/>
              </w:rPr>
              <w:t>Plotësojnë</w:t>
            </w:r>
            <w:r w:rsidR="000260C2">
              <w:rPr>
                <w:rFonts w:ascii="Times New Roman" w:hAnsi="Times New Roman" w:cs="Times New Roman"/>
                <w:sz w:val="20"/>
                <w:szCs w:val="20"/>
              </w:rPr>
              <w:t xml:space="preserve"> standardet e përgjithshme.</w:t>
            </w:r>
          </w:p>
        </w:tc>
        <w:tc>
          <w:tcPr>
            <w:tcW w:w="6516"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C1514A">
        <w:tc>
          <w:tcPr>
            <w:tcW w:w="3204" w:type="dxa"/>
          </w:tcPr>
          <w:p w:rsidR="00587D8A" w:rsidRPr="00587D8A" w:rsidRDefault="00587D8A" w:rsidP="00587D8A">
            <w:pPr>
              <w:spacing w:line="276" w:lineRule="auto"/>
              <w:rPr>
                <w:rFonts w:ascii="Times New Roman" w:hAnsi="Times New Roman" w:cs="Times New Roman"/>
                <w:sz w:val="20"/>
                <w:szCs w:val="20"/>
              </w:rPr>
            </w:pPr>
            <w:r w:rsidRPr="00790326">
              <w:rPr>
                <w:rFonts w:ascii="Times New Roman" w:hAnsi="Times New Roman" w:cs="Times New Roman"/>
                <w:b/>
                <w:sz w:val="20"/>
                <w:szCs w:val="20"/>
              </w:rPr>
              <w:t>Kriteri 3:</w:t>
            </w:r>
            <w:r w:rsidRPr="00587D8A">
              <w:rPr>
                <w:rFonts w:ascii="Times New Roman" w:hAnsi="Times New Roman" w:cs="Times New Roman"/>
                <w:sz w:val="20"/>
                <w:szCs w:val="20"/>
              </w:rPr>
              <w:t xml:space="preserve"> Struktura bazë është e pajisur me ambientet/pajisjet e nevojshme:</w:t>
            </w:r>
          </w:p>
          <w:p w:rsidR="00587D8A" w:rsidRPr="00587D8A" w:rsidRDefault="00587D8A" w:rsidP="00587D8A">
            <w:pPr>
              <w:pStyle w:val="ListParagraph"/>
              <w:numPr>
                <w:ilvl w:val="0"/>
                <w:numId w:val="15"/>
              </w:numPr>
              <w:spacing w:line="276" w:lineRule="auto"/>
              <w:rPr>
                <w:rFonts w:ascii="Times New Roman" w:hAnsi="Times New Roman" w:cs="Times New Roman"/>
                <w:sz w:val="20"/>
                <w:szCs w:val="20"/>
              </w:rPr>
            </w:pPr>
            <w:r w:rsidRPr="00587D8A">
              <w:rPr>
                <w:rFonts w:ascii="Times New Roman" w:hAnsi="Times New Roman" w:cs="Times New Roman"/>
                <w:sz w:val="20"/>
                <w:szCs w:val="20"/>
              </w:rPr>
              <w:t xml:space="preserve">sekretari didaktike </w:t>
            </w:r>
          </w:p>
          <w:p w:rsidR="00587D8A" w:rsidRPr="00587D8A" w:rsidRDefault="00587D8A" w:rsidP="00587D8A">
            <w:pPr>
              <w:pStyle w:val="ListParagraph"/>
              <w:numPr>
                <w:ilvl w:val="0"/>
                <w:numId w:val="15"/>
              </w:numPr>
              <w:spacing w:line="276" w:lineRule="auto"/>
              <w:rPr>
                <w:rFonts w:ascii="Times New Roman" w:hAnsi="Times New Roman" w:cs="Times New Roman"/>
                <w:sz w:val="20"/>
                <w:szCs w:val="20"/>
              </w:rPr>
            </w:pPr>
            <w:r w:rsidRPr="00587D8A">
              <w:rPr>
                <w:rFonts w:ascii="Times New Roman" w:hAnsi="Times New Roman" w:cs="Times New Roman"/>
                <w:sz w:val="20"/>
                <w:szCs w:val="20"/>
              </w:rPr>
              <w:t>bibliotekë shkencore të pasur me botime dhe në formë elektronike</w:t>
            </w:r>
          </w:p>
          <w:p w:rsidR="00587D8A" w:rsidRPr="00587D8A" w:rsidRDefault="00790326" w:rsidP="00587D8A">
            <w:pPr>
              <w:pStyle w:val="ListParagraph"/>
              <w:numPr>
                <w:ilvl w:val="0"/>
                <w:numId w:val="15"/>
              </w:numPr>
              <w:spacing w:line="276" w:lineRule="auto"/>
              <w:rPr>
                <w:rFonts w:ascii="Times New Roman" w:hAnsi="Times New Roman" w:cs="Times New Roman"/>
                <w:sz w:val="20"/>
                <w:szCs w:val="20"/>
              </w:rPr>
            </w:pPr>
            <w:r w:rsidRPr="00587D8A">
              <w:rPr>
                <w:rFonts w:ascii="Times New Roman" w:hAnsi="Times New Roman" w:cs="Times New Roman"/>
                <w:sz w:val="20"/>
                <w:szCs w:val="20"/>
              </w:rPr>
              <w:t>Infrastrukturë</w:t>
            </w:r>
            <w:r w:rsidR="00587D8A" w:rsidRPr="00587D8A">
              <w:rPr>
                <w:rFonts w:ascii="Times New Roman" w:hAnsi="Times New Roman" w:cs="Times New Roman"/>
                <w:sz w:val="20"/>
                <w:szCs w:val="20"/>
              </w:rPr>
              <w:t xml:space="preserve"> të plotë të IT-së.</w:t>
            </w:r>
          </w:p>
          <w:p w:rsidR="00587D8A" w:rsidRPr="00587D8A" w:rsidRDefault="00587D8A" w:rsidP="00587D8A">
            <w:pPr>
              <w:pStyle w:val="ListParagraph"/>
              <w:numPr>
                <w:ilvl w:val="0"/>
                <w:numId w:val="15"/>
              </w:numPr>
              <w:spacing w:line="276" w:lineRule="auto"/>
              <w:rPr>
                <w:rFonts w:ascii="Times New Roman" w:hAnsi="Times New Roman" w:cs="Times New Roman"/>
                <w:sz w:val="20"/>
                <w:szCs w:val="20"/>
              </w:rPr>
            </w:pPr>
            <w:r w:rsidRPr="00587D8A">
              <w:rPr>
                <w:rFonts w:ascii="Times New Roman" w:hAnsi="Times New Roman" w:cs="Times New Roman"/>
                <w:sz w:val="20"/>
                <w:szCs w:val="20"/>
              </w:rPr>
              <w:t>laboratorë kërkimorë dhe didaktikë (nëse parashikohen në shtojcën nr.2)</w:t>
            </w:r>
          </w:p>
          <w:p w:rsidR="00587D8A" w:rsidRPr="00587D8A" w:rsidRDefault="00587D8A" w:rsidP="00587D8A">
            <w:pPr>
              <w:pStyle w:val="ListParagraph"/>
              <w:numPr>
                <w:ilvl w:val="0"/>
                <w:numId w:val="15"/>
              </w:numPr>
              <w:spacing w:line="276" w:lineRule="auto"/>
              <w:rPr>
                <w:rFonts w:ascii="Times New Roman" w:hAnsi="Times New Roman" w:cs="Times New Roman"/>
                <w:sz w:val="20"/>
                <w:szCs w:val="20"/>
              </w:rPr>
            </w:pPr>
            <w:r w:rsidRPr="00587D8A">
              <w:rPr>
                <w:rFonts w:ascii="Times New Roman" w:hAnsi="Times New Roman" w:cs="Times New Roman"/>
                <w:sz w:val="20"/>
                <w:szCs w:val="20"/>
              </w:rPr>
              <w:t>ambulatorë dhe struktura asistenciale (me pajisjet e nevojshme teknologjike sipas specialitetit)</w:t>
            </w:r>
          </w:p>
          <w:p w:rsidR="00587D8A" w:rsidRPr="00587D8A" w:rsidRDefault="00587D8A" w:rsidP="00587D8A">
            <w:pPr>
              <w:pStyle w:val="ListParagraph"/>
              <w:numPr>
                <w:ilvl w:val="0"/>
                <w:numId w:val="15"/>
              </w:numPr>
              <w:spacing w:line="276" w:lineRule="auto"/>
              <w:rPr>
                <w:rFonts w:ascii="Times New Roman" w:hAnsi="Times New Roman" w:cs="Times New Roman"/>
                <w:sz w:val="20"/>
                <w:szCs w:val="20"/>
              </w:rPr>
            </w:pPr>
            <w:r w:rsidRPr="00587D8A">
              <w:rPr>
                <w:rFonts w:ascii="Times New Roman" w:hAnsi="Times New Roman" w:cs="Times New Roman"/>
                <w:sz w:val="20"/>
                <w:szCs w:val="20"/>
              </w:rPr>
              <w:t>ambjente spitalore me shtretër (në rastet kur janë parashikuar në standardet specifike të specialitetit në shtojcën 2)</w:t>
            </w:r>
          </w:p>
          <w:p w:rsidR="00BA509A" w:rsidRPr="00587D8A" w:rsidRDefault="00587D8A" w:rsidP="000260C2">
            <w:pPr>
              <w:spacing w:line="276" w:lineRule="auto"/>
              <w:rPr>
                <w:rFonts w:ascii="Times New Roman" w:hAnsi="Times New Roman" w:cs="Times New Roman"/>
                <w:sz w:val="20"/>
                <w:szCs w:val="20"/>
              </w:rPr>
            </w:pPr>
            <w:r w:rsidRPr="00587D8A">
              <w:rPr>
                <w:rFonts w:ascii="Times New Roman" w:hAnsi="Times New Roman" w:cs="Times New Roman"/>
                <w:sz w:val="20"/>
                <w:szCs w:val="20"/>
              </w:rPr>
              <w:lastRenderedPageBreak/>
              <w:t>Ambjentet më sipër duhet të sigurojnë standardet e sigurisë dhe ato higjenike dhe nuk kanë barriera arkitektonike që pengojnë aksesin në veprimtaritë e ndryshme të parash</w:t>
            </w:r>
            <w:r w:rsidR="000260C2">
              <w:rPr>
                <w:rFonts w:ascii="Times New Roman" w:hAnsi="Times New Roman" w:cs="Times New Roman"/>
                <w:sz w:val="20"/>
                <w:szCs w:val="20"/>
              </w:rPr>
              <w:t>ikuara nga programi i studimit.</w:t>
            </w:r>
          </w:p>
        </w:tc>
        <w:tc>
          <w:tcPr>
            <w:tcW w:w="6516"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C1514A">
        <w:tc>
          <w:tcPr>
            <w:tcW w:w="3204" w:type="dxa"/>
          </w:tcPr>
          <w:p w:rsidR="00587D8A" w:rsidRPr="00587D8A" w:rsidRDefault="00587D8A" w:rsidP="00587D8A">
            <w:pPr>
              <w:spacing w:line="276" w:lineRule="auto"/>
              <w:rPr>
                <w:rFonts w:ascii="Times New Roman" w:hAnsi="Times New Roman" w:cs="Times New Roman"/>
                <w:sz w:val="20"/>
                <w:szCs w:val="20"/>
              </w:rPr>
            </w:pPr>
            <w:r w:rsidRPr="00790326">
              <w:rPr>
                <w:rFonts w:ascii="Times New Roman" w:hAnsi="Times New Roman" w:cs="Times New Roman"/>
                <w:b/>
                <w:sz w:val="20"/>
                <w:szCs w:val="20"/>
              </w:rPr>
              <w:t>Kriteri 4:</w:t>
            </w:r>
            <w:r w:rsidRPr="00587D8A">
              <w:rPr>
                <w:rFonts w:ascii="Times New Roman" w:hAnsi="Times New Roman" w:cs="Times New Roman"/>
                <w:sz w:val="20"/>
                <w:szCs w:val="20"/>
              </w:rPr>
              <w:t xml:space="preserve"> Çdo program specifik i specializimit plotëson standardet specifike sipas tipologjisë së specializimit (psh. laboratorë specifikë, shërbime, shtrime spitalore, etj.) sipas shtojcës 2. Standardet specifike ndahen në:</w:t>
            </w:r>
          </w:p>
          <w:p w:rsidR="00587D8A" w:rsidRPr="00587D8A" w:rsidRDefault="00587D8A" w:rsidP="00587D8A">
            <w:pPr>
              <w:spacing w:line="276" w:lineRule="auto"/>
              <w:rPr>
                <w:rFonts w:ascii="Times New Roman" w:hAnsi="Times New Roman" w:cs="Times New Roman"/>
                <w:sz w:val="20"/>
                <w:szCs w:val="20"/>
              </w:rPr>
            </w:pPr>
            <w:r w:rsidRPr="00790326">
              <w:rPr>
                <w:rFonts w:ascii="Times New Roman" w:hAnsi="Times New Roman" w:cs="Times New Roman"/>
                <w:b/>
                <w:sz w:val="20"/>
                <w:szCs w:val="20"/>
              </w:rPr>
              <w:t>a.</w:t>
            </w:r>
            <w:r w:rsidRPr="00587D8A">
              <w:rPr>
                <w:rFonts w:ascii="Times New Roman" w:hAnsi="Times New Roman" w:cs="Times New Roman"/>
                <w:sz w:val="20"/>
                <w:szCs w:val="20"/>
              </w:rPr>
              <w:t xml:space="preserve">   bazë:  standarde  që  duhet  domosdoshmërisht  të  përmbushen  si  nga struktura bazë dhe nga strukturat dytësore/satelite.</w:t>
            </w:r>
          </w:p>
          <w:p w:rsidR="00587D8A" w:rsidRPr="00587D8A" w:rsidRDefault="00587D8A" w:rsidP="00587D8A">
            <w:pPr>
              <w:spacing w:line="276" w:lineRule="auto"/>
              <w:rPr>
                <w:rFonts w:ascii="Times New Roman" w:hAnsi="Times New Roman" w:cs="Times New Roman"/>
                <w:sz w:val="20"/>
                <w:szCs w:val="20"/>
              </w:rPr>
            </w:pPr>
            <w:r w:rsidRPr="00790326">
              <w:rPr>
                <w:rFonts w:ascii="Times New Roman" w:hAnsi="Times New Roman" w:cs="Times New Roman"/>
                <w:b/>
                <w:sz w:val="20"/>
                <w:szCs w:val="20"/>
              </w:rPr>
              <w:t>b.</w:t>
            </w:r>
            <w:r w:rsidRPr="00587D8A">
              <w:rPr>
                <w:rFonts w:ascii="Times New Roman" w:hAnsi="Times New Roman" w:cs="Times New Roman"/>
                <w:sz w:val="20"/>
                <w:szCs w:val="20"/>
              </w:rPr>
              <w:t xml:space="preserve">   dytësore: standarde që, për të plotësuar kriteret e akreditimit të strukturës, duhet të plotësohen si nga struktura qendrore edhe nga ajo dytësore ose nga strukturat të tjera të IAL-së sipas një përqindjeje të caktuar të parashikuar për akreditimin. Nëse nuk plotësohen as nga struktura bazë e as nga ajo dytësore duhet të plotësohen nga strukturat komplementare me të cilat ka një marrëveshje bashkëpunimi.</w:t>
            </w:r>
          </w:p>
          <w:p w:rsidR="00BA509A" w:rsidRPr="00587D8A" w:rsidRDefault="00790326" w:rsidP="000260C2">
            <w:pPr>
              <w:spacing w:line="276" w:lineRule="auto"/>
              <w:rPr>
                <w:rFonts w:ascii="Times New Roman" w:hAnsi="Times New Roman" w:cs="Times New Roman"/>
                <w:sz w:val="20"/>
                <w:szCs w:val="20"/>
              </w:rPr>
            </w:pPr>
            <w:r w:rsidRPr="00790326">
              <w:rPr>
                <w:rFonts w:ascii="Times New Roman" w:hAnsi="Times New Roman" w:cs="Times New Roman"/>
                <w:b/>
                <w:sz w:val="20"/>
                <w:szCs w:val="20"/>
              </w:rPr>
              <w:t>c.</w:t>
            </w:r>
            <w:r w:rsidRPr="00587D8A">
              <w:rPr>
                <w:rFonts w:ascii="Times New Roman" w:hAnsi="Times New Roman" w:cs="Times New Roman"/>
                <w:sz w:val="20"/>
                <w:szCs w:val="20"/>
              </w:rPr>
              <w:t xml:space="preserve"> shërbime</w:t>
            </w:r>
            <w:r w:rsidR="00587D8A" w:rsidRPr="00587D8A">
              <w:rPr>
                <w:rFonts w:ascii="Times New Roman" w:hAnsi="Times New Roman" w:cs="Times New Roman"/>
                <w:sz w:val="20"/>
                <w:szCs w:val="20"/>
              </w:rPr>
              <w:t xml:space="preserve"> të përgjithshme: janë shërbimet operative që duhet të ketë struktura në të cilën bën pjesë struktura qendrore ose ajo</w:t>
            </w:r>
            <w:r w:rsidR="000260C2">
              <w:rPr>
                <w:rFonts w:ascii="Times New Roman" w:hAnsi="Times New Roman" w:cs="Times New Roman"/>
                <w:sz w:val="20"/>
                <w:szCs w:val="20"/>
              </w:rPr>
              <w:t xml:space="preserve"> dytësore që do të akreditohen.</w:t>
            </w:r>
          </w:p>
        </w:tc>
        <w:tc>
          <w:tcPr>
            <w:tcW w:w="6516"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C1514A">
        <w:tc>
          <w:tcPr>
            <w:tcW w:w="3204" w:type="dxa"/>
          </w:tcPr>
          <w:p w:rsidR="00BA509A" w:rsidRPr="00587D8A" w:rsidRDefault="00587D8A" w:rsidP="000260C2">
            <w:pPr>
              <w:spacing w:line="276" w:lineRule="auto"/>
              <w:rPr>
                <w:rFonts w:ascii="Times New Roman" w:hAnsi="Times New Roman" w:cs="Times New Roman"/>
                <w:sz w:val="20"/>
                <w:szCs w:val="20"/>
              </w:rPr>
            </w:pPr>
            <w:r w:rsidRPr="00790326">
              <w:rPr>
                <w:rFonts w:ascii="Times New Roman" w:hAnsi="Times New Roman" w:cs="Times New Roman"/>
                <w:b/>
                <w:sz w:val="20"/>
                <w:szCs w:val="20"/>
              </w:rPr>
              <w:t>Kriteri 5:</w:t>
            </w:r>
            <w:r w:rsidRPr="00587D8A">
              <w:rPr>
                <w:rFonts w:ascii="Times New Roman" w:hAnsi="Times New Roman" w:cs="Times New Roman"/>
                <w:sz w:val="20"/>
                <w:szCs w:val="20"/>
              </w:rPr>
              <w:t xml:space="preserve"> Institucioni që ofron programet specializuese garanton se ka kapacitete të mjaftueshme në personel shëndetësor, ndihmës dhe administrativ në strukturat qendrore dhe dytësore për të mbuluar nevojat e specialiteteve të ofruara, në bazë të kapaciteteve.</w:t>
            </w:r>
          </w:p>
        </w:tc>
        <w:tc>
          <w:tcPr>
            <w:tcW w:w="6516"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C1514A">
        <w:tc>
          <w:tcPr>
            <w:tcW w:w="3204" w:type="dxa"/>
          </w:tcPr>
          <w:p w:rsidR="00BA509A" w:rsidRPr="00587D8A" w:rsidRDefault="00587D8A" w:rsidP="000260C2">
            <w:pPr>
              <w:spacing w:line="276" w:lineRule="auto"/>
              <w:rPr>
                <w:rFonts w:ascii="Times New Roman" w:hAnsi="Times New Roman" w:cs="Times New Roman"/>
                <w:sz w:val="20"/>
                <w:szCs w:val="20"/>
              </w:rPr>
            </w:pPr>
            <w:r w:rsidRPr="00790326">
              <w:rPr>
                <w:rFonts w:ascii="Times New Roman" w:hAnsi="Times New Roman" w:cs="Times New Roman"/>
                <w:b/>
                <w:sz w:val="20"/>
                <w:szCs w:val="20"/>
              </w:rPr>
              <w:t>Kriteri 6:</w:t>
            </w:r>
            <w:r w:rsidRPr="00587D8A">
              <w:rPr>
                <w:rFonts w:ascii="Times New Roman" w:hAnsi="Times New Roman" w:cs="Times New Roman"/>
                <w:sz w:val="20"/>
                <w:szCs w:val="20"/>
              </w:rPr>
              <w:t xml:space="preserve"> Institucioni  që  ofron  programet  specializuese  është  i  mirëorganizuar  dhe disponon dokumentacion që tregon mënyrën e organizimit dhe strukturën drejtuese si dhe personelin administrativ dhe akademik me titujt përkatës si dhe rolet e parashikuara për secilin.</w:t>
            </w:r>
          </w:p>
        </w:tc>
        <w:tc>
          <w:tcPr>
            <w:tcW w:w="6516" w:type="dxa"/>
            <w:gridSpan w:val="4"/>
          </w:tcPr>
          <w:p w:rsidR="00BA509A" w:rsidRPr="00500475" w:rsidRDefault="00BA509A" w:rsidP="00243BA4">
            <w:pPr>
              <w:spacing w:line="276" w:lineRule="auto"/>
              <w:jc w:val="both"/>
              <w:rPr>
                <w:rFonts w:ascii="Times New Roman" w:hAnsi="Times New Roman" w:cs="Times New Roman"/>
                <w:b/>
              </w:rPr>
            </w:pPr>
          </w:p>
        </w:tc>
      </w:tr>
      <w:tr w:rsidR="00C1352C" w:rsidRPr="00500475" w:rsidTr="000260C2">
        <w:trPr>
          <w:trHeight w:val="315"/>
        </w:trPr>
        <w:tc>
          <w:tcPr>
            <w:tcW w:w="3204" w:type="dxa"/>
            <w:vMerge w:val="restart"/>
            <w:shd w:val="clear" w:color="auto" w:fill="F7CAAC" w:themeFill="accent2" w:themeFillTint="66"/>
          </w:tcPr>
          <w:p w:rsidR="00C1352C" w:rsidRPr="00500475" w:rsidRDefault="00C1352C" w:rsidP="00243BA4">
            <w:pPr>
              <w:spacing w:line="276" w:lineRule="auto"/>
              <w:rPr>
                <w:rFonts w:ascii="Times New Roman" w:hAnsi="Times New Roman" w:cs="Times New Roman"/>
                <w:b/>
              </w:rPr>
            </w:pPr>
            <w:r w:rsidRPr="00500475">
              <w:rPr>
                <w:rFonts w:ascii="Times New Roman" w:hAnsi="Times New Roman" w:cs="Times New Roman"/>
                <w:b/>
              </w:rPr>
              <w:lastRenderedPageBreak/>
              <w:t>Shkalla e përmbushjes së standardit</w:t>
            </w:r>
          </w:p>
        </w:tc>
        <w:tc>
          <w:tcPr>
            <w:tcW w:w="1476" w:type="dxa"/>
            <w:shd w:val="clear" w:color="auto" w:fill="FF00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Nuk përmbushet</w:t>
            </w:r>
          </w:p>
        </w:tc>
        <w:tc>
          <w:tcPr>
            <w:tcW w:w="1590" w:type="dxa"/>
            <w:shd w:val="clear" w:color="auto" w:fill="FF66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pjesërisht</w:t>
            </w:r>
          </w:p>
        </w:tc>
        <w:tc>
          <w:tcPr>
            <w:tcW w:w="1725" w:type="dxa"/>
            <w:shd w:val="clear" w:color="auto" w:fill="CCCC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krye</w:t>
            </w:r>
            <w:r w:rsidRPr="00500475">
              <w:rPr>
                <w:rFonts w:ascii="Times New Roman" w:hAnsi="Times New Roman" w:cs="Times New Roman"/>
                <w:b/>
                <w:shd w:val="clear" w:color="auto" w:fill="CCCC00"/>
              </w:rPr>
              <w:t>s</w:t>
            </w:r>
            <w:r w:rsidRPr="00500475">
              <w:rPr>
                <w:rFonts w:ascii="Times New Roman" w:hAnsi="Times New Roman" w:cs="Times New Roman"/>
                <w:b/>
              </w:rPr>
              <w:t>isht</w:t>
            </w:r>
          </w:p>
        </w:tc>
        <w:tc>
          <w:tcPr>
            <w:tcW w:w="1725" w:type="dxa"/>
            <w:shd w:val="clear" w:color="auto" w:fill="92D05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plotësisht</w:t>
            </w:r>
          </w:p>
        </w:tc>
      </w:tr>
      <w:tr w:rsidR="00C1352C" w:rsidRPr="00500475" w:rsidTr="000260C2">
        <w:trPr>
          <w:trHeight w:val="323"/>
        </w:trPr>
        <w:tc>
          <w:tcPr>
            <w:tcW w:w="3204" w:type="dxa"/>
            <w:vMerge/>
            <w:shd w:val="clear" w:color="auto" w:fill="F7CAAC" w:themeFill="accent2" w:themeFillTint="66"/>
          </w:tcPr>
          <w:p w:rsidR="00C1352C" w:rsidRPr="00500475" w:rsidRDefault="00C1352C" w:rsidP="00243BA4">
            <w:pPr>
              <w:spacing w:line="276" w:lineRule="auto"/>
              <w:rPr>
                <w:rFonts w:ascii="Times New Roman" w:hAnsi="Times New Roman" w:cs="Times New Roman"/>
                <w:b/>
              </w:rPr>
            </w:pPr>
          </w:p>
        </w:tc>
        <w:tc>
          <w:tcPr>
            <w:tcW w:w="1476" w:type="dxa"/>
          </w:tcPr>
          <w:p w:rsidR="00C1352C" w:rsidRPr="00500475" w:rsidRDefault="00C1352C" w:rsidP="00243BA4">
            <w:pPr>
              <w:spacing w:line="276" w:lineRule="auto"/>
              <w:jc w:val="both"/>
              <w:rPr>
                <w:rFonts w:ascii="Times New Roman" w:hAnsi="Times New Roman" w:cs="Times New Roman"/>
                <w:b/>
              </w:rPr>
            </w:pPr>
          </w:p>
        </w:tc>
        <w:tc>
          <w:tcPr>
            <w:tcW w:w="1590" w:type="dxa"/>
          </w:tcPr>
          <w:p w:rsidR="00C1352C" w:rsidRPr="00500475" w:rsidRDefault="00C1352C" w:rsidP="00243BA4">
            <w:pPr>
              <w:spacing w:line="276" w:lineRule="auto"/>
              <w:jc w:val="both"/>
              <w:rPr>
                <w:rFonts w:ascii="Times New Roman" w:hAnsi="Times New Roman" w:cs="Times New Roman"/>
                <w:b/>
              </w:rPr>
            </w:pPr>
          </w:p>
        </w:tc>
        <w:tc>
          <w:tcPr>
            <w:tcW w:w="1725" w:type="dxa"/>
          </w:tcPr>
          <w:p w:rsidR="00C1352C" w:rsidRPr="00500475" w:rsidRDefault="00C1352C" w:rsidP="00243BA4">
            <w:pPr>
              <w:spacing w:line="276" w:lineRule="auto"/>
              <w:jc w:val="both"/>
              <w:rPr>
                <w:rFonts w:ascii="Times New Roman" w:hAnsi="Times New Roman" w:cs="Times New Roman"/>
                <w:b/>
              </w:rPr>
            </w:pPr>
          </w:p>
        </w:tc>
        <w:tc>
          <w:tcPr>
            <w:tcW w:w="1725" w:type="dxa"/>
          </w:tcPr>
          <w:p w:rsidR="00C1352C" w:rsidRPr="00500475" w:rsidRDefault="00C1352C" w:rsidP="00243BA4">
            <w:pPr>
              <w:spacing w:line="276" w:lineRule="auto"/>
              <w:jc w:val="both"/>
              <w:rPr>
                <w:rFonts w:ascii="Times New Roman" w:hAnsi="Times New Roman" w:cs="Times New Roman"/>
                <w:b/>
              </w:rPr>
            </w:pPr>
          </w:p>
        </w:tc>
      </w:tr>
    </w:tbl>
    <w:p w:rsidR="00B100A2" w:rsidRPr="00500475" w:rsidRDefault="00B100A2" w:rsidP="00C1352C">
      <w:pPr>
        <w:spacing w:line="276" w:lineRule="auto"/>
        <w:jc w:val="both"/>
        <w:rPr>
          <w:rFonts w:ascii="Times New Roman" w:hAnsi="Times New Roman" w:cs="Times New Roman"/>
          <w:b/>
        </w:rPr>
      </w:pPr>
    </w:p>
    <w:tbl>
      <w:tblPr>
        <w:tblStyle w:val="TableGrid"/>
        <w:tblW w:w="9720" w:type="dxa"/>
        <w:tblInd w:w="-185" w:type="dxa"/>
        <w:tblLayout w:type="fixed"/>
        <w:tblLook w:val="04A0" w:firstRow="1" w:lastRow="0" w:firstColumn="1" w:lastColumn="0" w:noHBand="0" w:noVBand="1"/>
      </w:tblPr>
      <w:tblGrid>
        <w:gridCol w:w="3240"/>
        <w:gridCol w:w="1440"/>
        <w:gridCol w:w="1530"/>
        <w:gridCol w:w="1800"/>
        <w:gridCol w:w="1710"/>
      </w:tblGrid>
      <w:tr w:rsidR="00C1352C" w:rsidRPr="00500475" w:rsidTr="00B100A2">
        <w:tc>
          <w:tcPr>
            <w:tcW w:w="9720" w:type="dxa"/>
            <w:gridSpan w:val="5"/>
            <w:shd w:val="clear" w:color="auto" w:fill="F7CAAC" w:themeFill="accent2" w:themeFillTint="66"/>
          </w:tcPr>
          <w:p w:rsidR="00C1352C" w:rsidRPr="00500475" w:rsidRDefault="00C1352C" w:rsidP="00243BA4">
            <w:pPr>
              <w:ind w:left="1843" w:hanging="1843"/>
              <w:jc w:val="both"/>
              <w:rPr>
                <w:rFonts w:ascii="Times New Roman" w:hAnsi="Times New Roman" w:cs="Times New Roman"/>
                <w:b/>
                <w:lang w:val="sq-AL"/>
              </w:rPr>
            </w:pPr>
            <w:r w:rsidRPr="00500475">
              <w:rPr>
                <w:rFonts w:ascii="Times New Roman" w:hAnsi="Times New Roman" w:cs="Times New Roman"/>
                <w:b/>
                <w:lang w:val="sq-AL"/>
              </w:rPr>
              <w:t>Standardi III.5</w:t>
            </w:r>
            <w:r w:rsidRPr="00500475">
              <w:rPr>
                <w:rFonts w:ascii="Times New Roman" w:hAnsi="Times New Roman" w:cs="Times New Roman"/>
                <w:b/>
                <w:lang w:val="sq-AL"/>
              </w:rPr>
              <w:tab/>
            </w:r>
          </w:p>
          <w:p w:rsidR="00C1352C" w:rsidRPr="00500475" w:rsidRDefault="00790326" w:rsidP="00BA509A">
            <w:pPr>
              <w:jc w:val="both"/>
              <w:rPr>
                <w:rFonts w:ascii="Times New Roman" w:hAnsi="Times New Roman" w:cs="Times New Roman"/>
                <w:b/>
                <w:lang w:val="sq-AL"/>
              </w:rPr>
            </w:pPr>
            <w:r>
              <w:rPr>
                <w:rFonts w:ascii="Times New Roman" w:hAnsi="Times New Roman" w:cs="Times New Roman"/>
                <w:b/>
                <w:lang w:val="sq-AL"/>
              </w:rPr>
              <w:t xml:space="preserve">Rrjeti formues </w:t>
            </w:r>
            <w:r w:rsidRPr="00790326">
              <w:rPr>
                <w:rFonts w:ascii="Times New Roman" w:hAnsi="Times New Roman" w:cs="Times New Roman"/>
                <w:b/>
                <w:lang w:val="sq-AL"/>
              </w:rPr>
              <w:t>plotëson kriteret minimale të parashikuara dhe është i përshtatshëm për të ofruar programet specializuese afatgjata në fushën e mjekësisë.</w:t>
            </w:r>
          </w:p>
        </w:tc>
      </w:tr>
      <w:tr w:rsidR="00C1352C" w:rsidRPr="00500475" w:rsidTr="00EC799F">
        <w:trPr>
          <w:trHeight w:val="377"/>
        </w:trPr>
        <w:tc>
          <w:tcPr>
            <w:tcW w:w="3240" w:type="dxa"/>
            <w:shd w:val="clear" w:color="auto" w:fill="C5E0B3" w:themeFill="accent6" w:themeFillTint="66"/>
          </w:tcPr>
          <w:p w:rsidR="00C1352C" w:rsidRPr="00500475" w:rsidRDefault="00C1352C" w:rsidP="00243BA4">
            <w:pPr>
              <w:spacing w:line="276" w:lineRule="auto"/>
              <w:jc w:val="both"/>
              <w:rPr>
                <w:rFonts w:ascii="Times New Roman" w:eastAsia="Times New Roman" w:hAnsi="Times New Roman" w:cs="Times New Roman"/>
                <w:b/>
                <w:bCs/>
                <w:lang w:val="sq-AL"/>
              </w:rPr>
            </w:pPr>
            <w:r w:rsidRPr="00500475">
              <w:rPr>
                <w:rFonts w:ascii="Times New Roman" w:eastAsia="Times New Roman" w:hAnsi="Times New Roman" w:cs="Times New Roman"/>
                <w:b/>
                <w:bCs/>
                <w:lang w:val="sq-AL"/>
              </w:rPr>
              <w:t>Kriteret</w:t>
            </w:r>
          </w:p>
        </w:tc>
        <w:tc>
          <w:tcPr>
            <w:tcW w:w="6480" w:type="dxa"/>
            <w:gridSpan w:val="4"/>
            <w:shd w:val="clear" w:color="auto" w:fill="C5E0B3" w:themeFill="accent6" w:themeFillTint="66"/>
          </w:tcPr>
          <w:p w:rsidR="00C1352C" w:rsidRPr="00500475" w:rsidRDefault="00C1352C" w:rsidP="00A0413B">
            <w:pPr>
              <w:spacing w:line="276" w:lineRule="auto"/>
              <w:jc w:val="center"/>
              <w:rPr>
                <w:rFonts w:ascii="Times New Roman" w:eastAsia="Times New Roman" w:hAnsi="Times New Roman" w:cs="Times New Roman"/>
                <w:b/>
                <w:bCs/>
                <w:lang w:val="sq-AL"/>
              </w:rPr>
            </w:pPr>
            <w:r w:rsidRPr="00500475">
              <w:rPr>
                <w:rFonts w:ascii="Times New Roman" w:eastAsia="Times New Roman" w:hAnsi="Times New Roman" w:cs="Times New Roman"/>
                <w:b/>
                <w:bCs/>
                <w:lang w:val="sq-AL"/>
              </w:rPr>
              <w:t>Vlerësimi i ekspertëve</w:t>
            </w:r>
          </w:p>
        </w:tc>
      </w:tr>
      <w:tr w:rsidR="00BA509A" w:rsidRPr="00500475" w:rsidTr="00EC799F">
        <w:tc>
          <w:tcPr>
            <w:tcW w:w="3240" w:type="dxa"/>
          </w:tcPr>
          <w:p w:rsidR="00BA509A" w:rsidRPr="004307BA" w:rsidRDefault="00790326" w:rsidP="00A0413B">
            <w:pPr>
              <w:spacing w:line="276" w:lineRule="auto"/>
              <w:rPr>
                <w:rFonts w:ascii="Times New Roman" w:hAnsi="Times New Roman" w:cs="Times New Roman"/>
                <w:sz w:val="20"/>
                <w:szCs w:val="20"/>
              </w:rPr>
            </w:pPr>
            <w:r w:rsidRPr="004307BA">
              <w:rPr>
                <w:rFonts w:ascii="Times New Roman" w:hAnsi="Times New Roman" w:cs="Times New Roman"/>
                <w:b/>
                <w:sz w:val="20"/>
                <w:szCs w:val="20"/>
              </w:rPr>
              <w:t>Kriteri 1:</w:t>
            </w:r>
            <w:r w:rsidRPr="004307BA">
              <w:rPr>
                <w:rFonts w:ascii="Times New Roman" w:hAnsi="Times New Roman" w:cs="Times New Roman"/>
                <w:sz w:val="20"/>
                <w:szCs w:val="20"/>
              </w:rPr>
              <w:t xml:space="preserve"> Institucioni plotëson kërkesat minimale të përgjithshme të parashikuara në këtë dokument </w:t>
            </w:r>
            <w:r w:rsidR="00A0413B">
              <w:rPr>
                <w:rFonts w:ascii="Times New Roman" w:hAnsi="Times New Roman" w:cs="Times New Roman"/>
                <w:sz w:val="20"/>
                <w:szCs w:val="20"/>
              </w:rPr>
              <w:t>përsa i përket rrjetit formues.</w:t>
            </w: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EC799F">
        <w:tc>
          <w:tcPr>
            <w:tcW w:w="3240" w:type="dxa"/>
          </w:tcPr>
          <w:p w:rsidR="00BA509A" w:rsidRPr="004307BA" w:rsidRDefault="00790326" w:rsidP="00A0413B">
            <w:pPr>
              <w:spacing w:line="276" w:lineRule="auto"/>
              <w:rPr>
                <w:rFonts w:ascii="Times New Roman" w:hAnsi="Times New Roman" w:cs="Times New Roman"/>
                <w:sz w:val="20"/>
                <w:szCs w:val="20"/>
              </w:rPr>
            </w:pPr>
            <w:r w:rsidRPr="00596BE2">
              <w:rPr>
                <w:rFonts w:ascii="Times New Roman" w:hAnsi="Times New Roman" w:cs="Times New Roman"/>
                <w:b/>
                <w:sz w:val="20"/>
                <w:szCs w:val="20"/>
              </w:rPr>
              <w:t>Kriteri 2:</w:t>
            </w:r>
            <w:r w:rsidRPr="004307BA">
              <w:rPr>
                <w:rFonts w:ascii="Times New Roman" w:hAnsi="Times New Roman" w:cs="Times New Roman"/>
                <w:sz w:val="20"/>
                <w:szCs w:val="20"/>
              </w:rPr>
              <w:t xml:space="preserve"> Institucioni duhet të plotësojë kërkesat minimale specifike për çdo specialitet të parashikuara në shtojcën 2 të këtij dokumenti </w:t>
            </w:r>
            <w:r w:rsidR="00A0413B">
              <w:rPr>
                <w:rFonts w:ascii="Times New Roman" w:hAnsi="Times New Roman" w:cs="Times New Roman"/>
                <w:sz w:val="20"/>
                <w:szCs w:val="20"/>
              </w:rPr>
              <w:t>përsa i përket rrjetit formues.</w:t>
            </w: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EC799F">
        <w:tc>
          <w:tcPr>
            <w:tcW w:w="3240" w:type="dxa"/>
          </w:tcPr>
          <w:p w:rsidR="004307BA" w:rsidRPr="004307BA" w:rsidRDefault="004307BA" w:rsidP="004307BA">
            <w:pPr>
              <w:spacing w:line="276" w:lineRule="auto"/>
              <w:rPr>
                <w:rFonts w:ascii="Times New Roman" w:hAnsi="Times New Roman" w:cs="Times New Roman"/>
                <w:sz w:val="20"/>
                <w:szCs w:val="20"/>
              </w:rPr>
            </w:pPr>
            <w:r w:rsidRPr="00596BE2">
              <w:rPr>
                <w:rFonts w:ascii="Times New Roman" w:hAnsi="Times New Roman" w:cs="Times New Roman"/>
                <w:b/>
                <w:sz w:val="20"/>
                <w:szCs w:val="20"/>
              </w:rPr>
              <w:t>Kriteri 3:</w:t>
            </w:r>
            <w:r w:rsidRPr="004307BA">
              <w:rPr>
                <w:rFonts w:ascii="Times New Roman" w:hAnsi="Times New Roman" w:cs="Times New Roman"/>
                <w:sz w:val="20"/>
                <w:szCs w:val="20"/>
              </w:rPr>
              <w:t xml:space="preserve"> Kërkesat e përgjithshme dhe specifike janë të organizuara sipas kritereve të mëposhtme:</w:t>
            </w:r>
          </w:p>
          <w:p w:rsidR="004307BA" w:rsidRPr="004307BA" w:rsidRDefault="004307BA" w:rsidP="004307BA">
            <w:pPr>
              <w:spacing w:line="276" w:lineRule="auto"/>
              <w:rPr>
                <w:rFonts w:ascii="Times New Roman" w:hAnsi="Times New Roman" w:cs="Times New Roman"/>
                <w:sz w:val="20"/>
                <w:szCs w:val="20"/>
              </w:rPr>
            </w:pPr>
            <w:r w:rsidRPr="00596BE2">
              <w:rPr>
                <w:rFonts w:ascii="Times New Roman" w:hAnsi="Times New Roman" w:cs="Times New Roman"/>
                <w:b/>
                <w:sz w:val="20"/>
                <w:szCs w:val="20"/>
              </w:rPr>
              <w:t>a.</w:t>
            </w:r>
            <w:r w:rsidRPr="004307BA">
              <w:rPr>
                <w:rFonts w:ascii="Times New Roman" w:hAnsi="Times New Roman" w:cs="Times New Roman"/>
                <w:sz w:val="20"/>
                <w:szCs w:val="20"/>
              </w:rPr>
              <w:t xml:space="preserve">   Përshtatshmëria e strukturave dhe pajisjeve, me shërbimet përkatëse të përgjithshme dhe diagnostikuese dhe ekzistencën në to të specialiteteve të ngjashme</w:t>
            </w:r>
          </w:p>
          <w:p w:rsidR="004307BA" w:rsidRPr="004307BA" w:rsidRDefault="004307BA" w:rsidP="004307BA">
            <w:pPr>
              <w:spacing w:line="276" w:lineRule="auto"/>
              <w:rPr>
                <w:rFonts w:ascii="Times New Roman" w:hAnsi="Times New Roman" w:cs="Times New Roman"/>
                <w:sz w:val="20"/>
                <w:szCs w:val="20"/>
              </w:rPr>
            </w:pPr>
            <w:r w:rsidRPr="00596BE2">
              <w:rPr>
                <w:rFonts w:ascii="Times New Roman" w:hAnsi="Times New Roman" w:cs="Times New Roman"/>
                <w:b/>
                <w:sz w:val="20"/>
                <w:szCs w:val="20"/>
              </w:rPr>
              <w:t>b.</w:t>
            </w:r>
            <w:r w:rsidRPr="004307BA">
              <w:rPr>
                <w:rFonts w:ascii="Times New Roman" w:hAnsi="Times New Roman" w:cs="Times New Roman"/>
                <w:sz w:val="20"/>
                <w:szCs w:val="20"/>
              </w:rPr>
              <w:t xml:space="preserve">   Ekzistenca e numrit dhe procedurave praktike të mjaftueshme për një formim të plotë profesional</w:t>
            </w:r>
          </w:p>
          <w:p w:rsidR="004307BA" w:rsidRPr="004307BA" w:rsidRDefault="004307BA" w:rsidP="004307BA">
            <w:pPr>
              <w:spacing w:line="276" w:lineRule="auto"/>
              <w:rPr>
                <w:rFonts w:ascii="Times New Roman" w:hAnsi="Times New Roman" w:cs="Times New Roman"/>
                <w:sz w:val="20"/>
                <w:szCs w:val="20"/>
              </w:rPr>
            </w:pPr>
            <w:r w:rsidRPr="00596BE2">
              <w:rPr>
                <w:rFonts w:ascii="Times New Roman" w:hAnsi="Times New Roman" w:cs="Times New Roman"/>
                <w:b/>
                <w:sz w:val="20"/>
                <w:szCs w:val="20"/>
              </w:rPr>
              <w:t>c.</w:t>
            </w:r>
            <w:r w:rsidRPr="004307BA">
              <w:rPr>
                <w:rFonts w:ascii="Times New Roman" w:hAnsi="Times New Roman" w:cs="Times New Roman"/>
                <w:sz w:val="20"/>
                <w:szCs w:val="20"/>
              </w:rPr>
              <w:t xml:space="preserve">   Burime financiare të mjaftueshme</w:t>
            </w:r>
          </w:p>
          <w:p w:rsidR="004307BA" w:rsidRPr="004307BA" w:rsidRDefault="004307BA" w:rsidP="004307BA">
            <w:pPr>
              <w:spacing w:line="276" w:lineRule="auto"/>
              <w:rPr>
                <w:rFonts w:ascii="Times New Roman" w:hAnsi="Times New Roman" w:cs="Times New Roman"/>
                <w:sz w:val="20"/>
                <w:szCs w:val="20"/>
              </w:rPr>
            </w:pPr>
            <w:r w:rsidRPr="00596BE2">
              <w:rPr>
                <w:rFonts w:ascii="Times New Roman" w:hAnsi="Times New Roman" w:cs="Times New Roman"/>
                <w:b/>
                <w:sz w:val="20"/>
                <w:szCs w:val="20"/>
              </w:rPr>
              <w:t>d.</w:t>
            </w:r>
            <w:r w:rsidRPr="004307BA">
              <w:rPr>
                <w:rFonts w:ascii="Times New Roman" w:hAnsi="Times New Roman" w:cs="Times New Roman"/>
                <w:sz w:val="20"/>
                <w:szCs w:val="20"/>
              </w:rPr>
              <w:t xml:space="preserve">   Tutorë dhe pedagogë të përshtatshëm dhe ekspertë</w:t>
            </w:r>
          </w:p>
          <w:p w:rsidR="004307BA" w:rsidRPr="004307BA" w:rsidRDefault="004307BA" w:rsidP="004307BA">
            <w:pPr>
              <w:spacing w:line="276" w:lineRule="auto"/>
              <w:rPr>
                <w:rFonts w:ascii="Times New Roman" w:hAnsi="Times New Roman" w:cs="Times New Roman"/>
                <w:sz w:val="20"/>
                <w:szCs w:val="20"/>
              </w:rPr>
            </w:pPr>
            <w:r w:rsidRPr="00596BE2">
              <w:rPr>
                <w:rFonts w:ascii="Times New Roman" w:hAnsi="Times New Roman" w:cs="Times New Roman"/>
                <w:b/>
                <w:sz w:val="20"/>
                <w:szCs w:val="20"/>
              </w:rPr>
              <w:t>e.</w:t>
            </w:r>
            <w:r w:rsidRPr="004307BA">
              <w:rPr>
                <w:rFonts w:ascii="Times New Roman" w:hAnsi="Times New Roman" w:cs="Times New Roman"/>
                <w:sz w:val="20"/>
                <w:szCs w:val="20"/>
              </w:rPr>
              <w:t xml:space="preserve"> Strukturë organizative e përshtatshme, me kapacitetet e nevojshme profesionale</w:t>
            </w:r>
          </w:p>
          <w:p w:rsidR="004307BA" w:rsidRPr="004307BA" w:rsidRDefault="00596BE2" w:rsidP="004307BA">
            <w:pPr>
              <w:spacing w:line="276" w:lineRule="auto"/>
              <w:rPr>
                <w:rFonts w:ascii="Times New Roman" w:hAnsi="Times New Roman" w:cs="Times New Roman"/>
                <w:sz w:val="20"/>
                <w:szCs w:val="20"/>
              </w:rPr>
            </w:pPr>
            <w:r w:rsidRPr="00596BE2">
              <w:rPr>
                <w:rFonts w:ascii="Times New Roman" w:hAnsi="Times New Roman" w:cs="Times New Roman"/>
                <w:b/>
                <w:sz w:val="20"/>
                <w:szCs w:val="20"/>
              </w:rPr>
              <w:t>f.</w:t>
            </w:r>
            <w:r>
              <w:rPr>
                <w:rFonts w:ascii="Times New Roman" w:hAnsi="Times New Roman" w:cs="Times New Roman"/>
                <w:sz w:val="20"/>
                <w:szCs w:val="20"/>
              </w:rPr>
              <w:t xml:space="preserve">  </w:t>
            </w:r>
            <w:r w:rsidR="004307BA" w:rsidRPr="004307BA">
              <w:rPr>
                <w:rFonts w:ascii="Times New Roman" w:hAnsi="Times New Roman" w:cs="Times New Roman"/>
                <w:sz w:val="20"/>
                <w:szCs w:val="20"/>
              </w:rPr>
              <w:t>Programim i aktiviteteve orientuese, analizuese sipas kërkesave të tregut dhe përcaktimi i një programi formues</w:t>
            </w:r>
          </w:p>
          <w:p w:rsidR="004307BA" w:rsidRPr="004307BA" w:rsidRDefault="004307BA" w:rsidP="004307BA">
            <w:pPr>
              <w:spacing w:line="276" w:lineRule="auto"/>
              <w:rPr>
                <w:rFonts w:ascii="Times New Roman" w:hAnsi="Times New Roman" w:cs="Times New Roman"/>
                <w:sz w:val="20"/>
                <w:szCs w:val="20"/>
              </w:rPr>
            </w:pPr>
            <w:r w:rsidRPr="00596BE2">
              <w:rPr>
                <w:rFonts w:ascii="Times New Roman" w:hAnsi="Times New Roman" w:cs="Times New Roman"/>
                <w:b/>
                <w:sz w:val="20"/>
                <w:szCs w:val="20"/>
              </w:rPr>
              <w:t>g.</w:t>
            </w:r>
            <w:r w:rsidRPr="004307BA">
              <w:rPr>
                <w:rFonts w:ascii="Times New Roman" w:hAnsi="Times New Roman" w:cs="Times New Roman"/>
                <w:sz w:val="20"/>
                <w:szCs w:val="20"/>
              </w:rPr>
              <w:t xml:space="preserve">   Seleksionimi dhe vlerësimi i studentëve</w:t>
            </w:r>
          </w:p>
          <w:p w:rsidR="00BA509A" w:rsidRPr="004307BA" w:rsidRDefault="004307BA" w:rsidP="00A0413B">
            <w:pPr>
              <w:spacing w:line="276" w:lineRule="auto"/>
              <w:rPr>
                <w:rFonts w:ascii="Times New Roman" w:hAnsi="Times New Roman" w:cs="Times New Roman"/>
                <w:sz w:val="20"/>
                <w:szCs w:val="20"/>
              </w:rPr>
            </w:pPr>
            <w:r w:rsidRPr="00596BE2">
              <w:rPr>
                <w:rFonts w:ascii="Times New Roman" w:hAnsi="Times New Roman" w:cs="Times New Roman"/>
                <w:b/>
                <w:sz w:val="20"/>
                <w:szCs w:val="20"/>
              </w:rPr>
              <w:t>h.</w:t>
            </w:r>
            <w:r w:rsidRPr="004307BA">
              <w:rPr>
                <w:rFonts w:ascii="Times New Roman" w:hAnsi="Times New Roman" w:cs="Times New Roman"/>
                <w:sz w:val="20"/>
                <w:szCs w:val="20"/>
              </w:rPr>
              <w:t xml:space="preserve">   Efikasiteti dhe efiçenca në aktivite</w:t>
            </w:r>
            <w:r w:rsidR="00A0413B">
              <w:rPr>
                <w:rFonts w:ascii="Times New Roman" w:hAnsi="Times New Roman" w:cs="Times New Roman"/>
                <w:sz w:val="20"/>
                <w:szCs w:val="20"/>
              </w:rPr>
              <w:t>tet e ndryshme të parashikuara.</w:t>
            </w: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C1514A" w:rsidRPr="00500475" w:rsidTr="00EC799F">
        <w:tc>
          <w:tcPr>
            <w:tcW w:w="3240" w:type="dxa"/>
          </w:tcPr>
          <w:p w:rsidR="00C1514A" w:rsidRPr="004307BA" w:rsidRDefault="004307BA" w:rsidP="00A0413B">
            <w:pPr>
              <w:spacing w:line="276" w:lineRule="auto"/>
              <w:rPr>
                <w:rFonts w:ascii="Times New Roman" w:hAnsi="Times New Roman" w:cs="Times New Roman"/>
                <w:sz w:val="20"/>
                <w:szCs w:val="20"/>
              </w:rPr>
            </w:pPr>
            <w:r w:rsidRPr="00596BE2">
              <w:rPr>
                <w:rFonts w:ascii="Times New Roman" w:hAnsi="Times New Roman" w:cs="Times New Roman"/>
                <w:b/>
                <w:sz w:val="20"/>
                <w:szCs w:val="20"/>
              </w:rPr>
              <w:t>Kriteri 4:</w:t>
            </w:r>
            <w:r w:rsidRPr="004307BA">
              <w:rPr>
                <w:rFonts w:ascii="Times New Roman" w:hAnsi="Times New Roman" w:cs="Times New Roman"/>
                <w:sz w:val="20"/>
                <w:szCs w:val="20"/>
              </w:rPr>
              <w:t xml:space="preserve"> Institucioni disponon dokumentacion që provon përbërjen e rrjetit formues dhe të gjitha strukturave të përfshira në formimi</w:t>
            </w:r>
            <w:r w:rsidR="00A0413B">
              <w:rPr>
                <w:rFonts w:ascii="Times New Roman" w:hAnsi="Times New Roman" w:cs="Times New Roman"/>
                <w:sz w:val="20"/>
                <w:szCs w:val="20"/>
              </w:rPr>
              <w:t>n specializues (qendrore/bazë).</w:t>
            </w:r>
          </w:p>
        </w:tc>
        <w:tc>
          <w:tcPr>
            <w:tcW w:w="6480" w:type="dxa"/>
            <w:gridSpan w:val="4"/>
          </w:tcPr>
          <w:p w:rsidR="00C1514A" w:rsidRPr="00500475" w:rsidRDefault="00C1514A" w:rsidP="00243BA4">
            <w:pPr>
              <w:spacing w:line="276" w:lineRule="auto"/>
              <w:jc w:val="both"/>
              <w:rPr>
                <w:rFonts w:ascii="Times New Roman" w:hAnsi="Times New Roman" w:cs="Times New Roman"/>
                <w:b/>
              </w:rPr>
            </w:pPr>
          </w:p>
        </w:tc>
      </w:tr>
      <w:tr w:rsidR="00C1514A" w:rsidRPr="00500475" w:rsidTr="00EC799F">
        <w:tc>
          <w:tcPr>
            <w:tcW w:w="3240" w:type="dxa"/>
          </w:tcPr>
          <w:p w:rsidR="00C1514A" w:rsidRPr="004307BA" w:rsidRDefault="004307BA" w:rsidP="00A0413B">
            <w:pPr>
              <w:spacing w:line="276" w:lineRule="auto"/>
              <w:rPr>
                <w:rFonts w:ascii="Times New Roman" w:hAnsi="Times New Roman" w:cs="Times New Roman"/>
                <w:sz w:val="20"/>
                <w:szCs w:val="20"/>
              </w:rPr>
            </w:pPr>
            <w:r w:rsidRPr="00596BE2">
              <w:rPr>
                <w:rFonts w:ascii="Times New Roman" w:hAnsi="Times New Roman" w:cs="Times New Roman"/>
                <w:b/>
                <w:sz w:val="20"/>
                <w:szCs w:val="20"/>
              </w:rPr>
              <w:t>Kriteri 5:</w:t>
            </w:r>
            <w:r w:rsidRPr="004307BA">
              <w:rPr>
                <w:rFonts w:ascii="Times New Roman" w:hAnsi="Times New Roman" w:cs="Times New Roman"/>
                <w:sz w:val="20"/>
                <w:szCs w:val="20"/>
              </w:rPr>
              <w:t xml:space="preserve"> Strukturat qendrore dhe dytësore të përfshira në formimin </w:t>
            </w:r>
            <w:r w:rsidRPr="004307BA">
              <w:rPr>
                <w:rFonts w:ascii="Times New Roman" w:hAnsi="Times New Roman" w:cs="Times New Roman"/>
                <w:sz w:val="20"/>
                <w:szCs w:val="20"/>
              </w:rPr>
              <w:lastRenderedPageBreak/>
              <w:t>specializues duhet të jenë të akredituar</w:t>
            </w:r>
            <w:r w:rsidR="00A0413B">
              <w:rPr>
                <w:rFonts w:ascii="Times New Roman" w:hAnsi="Times New Roman" w:cs="Times New Roman"/>
                <w:sz w:val="20"/>
                <w:szCs w:val="20"/>
              </w:rPr>
              <w:t>a sipas legjislacionit ne fuqi.</w:t>
            </w:r>
          </w:p>
        </w:tc>
        <w:tc>
          <w:tcPr>
            <w:tcW w:w="6480" w:type="dxa"/>
            <w:gridSpan w:val="4"/>
          </w:tcPr>
          <w:p w:rsidR="00C1514A" w:rsidRPr="00500475" w:rsidRDefault="00C1514A" w:rsidP="00243BA4">
            <w:pPr>
              <w:spacing w:line="276" w:lineRule="auto"/>
              <w:jc w:val="both"/>
              <w:rPr>
                <w:rFonts w:ascii="Times New Roman" w:hAnsi="Times New Roman" w:cs="Times New Roman"/>
                <w:b/>
              </w:rPr>
            </w:pPr>
          </w:p>
        </w:tc>
      </w:tr>
      <w:tr w:rsidR="00C1514A" w:rsidRPr="00500475" w:rsidTr="00EC799F">
        <w:tc>
          <w:tcPr>
            <w:tcW w:w="3240" w:type="dxa"/>
          </w:tcPr>
          <w:p w:rsidR="00C1514A" w:rsidRPr="004307BA" w:rsidRDefault="004307BA" w:rsidP="00A0413B">
            <w:pPr>
              <w:spacing w:line="276" w:lineRule="auto"/>
              <w:rPr>
                <w:rFonts w:ascii="Times New Roman" w:hAnsi="Times New Roman" w:cs="Times New Roman"/>
                <w:sz w:val="20"/>
                <w:szCs w:val="20"/>
              </w:rPr>
            </w:pPr>
            <w:r w:rsidRPr="00596BE2">
              <w:rPr>
                <w:rFonts w:ascii="Times New Roman" w:hAnsi="Times New Roman" w:cs="Times New Roman"/>
                <w:b/>
                <w:sz w:val="20"/>
                <w:szCs w:val="20"/>
              </w:rPr>
              <w:t>Kriteri 6:</w:t>
            </w:r>
            <w:r w:rsidRPr="004307BA">
              <w:rPr>
                <w:rFonts w:ascii="Times New Roman" w:hAnsi="Times New Roman" w:cs="Times New Roman"/>
                <w:sz w:val="20"/>
                <w:szCs w:val="20"/>
              </w:rPr>
              <w:t xml:space="preserve"> Institucioni duhet të disponojë dokumentacion që sqaron ekzistencën e shërbimeve të përgjithshme dhe diagnostikuese të përfshira në formimin e specializantëve. Shërbimet e përgjithshme dhe diagnostikuese të pranishme në strukturat shëndetësore pjesë e rrjetit formues nuk mund të jenë të ndryshme apo inferiore nga ato të parashikuara në shtojcën 2 për a</w:t>
            </w:r>
            <w:r w:rsidR="00A0413B">
              <w:rPr>
                <w:rFonts w:ascii="Times New Roman" w:hAnsi="Times New Roman" w:cs="Times New Roman"/>
                <w:sz w:val="20"/>
                <w:szCs w:val="20"/>
              </w:rPr>
              <w:t>kreditimin e strukturave.</w:t>
            </w:r>
          </w:p>
        </w:tc>
        <w:tc>
          <w:tcPr>
            <w:tcW w:w="6480" w:type="dxa"/>
            <w:gridSpan w:val="4"/>
          </w:tcPr>
          <w:p w:rsidR="00C1514A" w:rsidRPr="00500475" w:rsidRDefault="00C1514A" w:rsidP="00243BA4">
            <w:pPr>
              <w:spacing w:line="276" w:lineRule="auto"/>
              <w:jc w:val="both"/>
              <w:rPr>
                <w:rFonts w:ascii="Times New Roman" w:hAnsi="Times New Roman" w:cs="Times New Roman"/>
                <w:b/>
              </w:rPr>
            </w:pPr>
          </w:p>
        </w:tc>
      </w:tr>
      <w:tr w:rsidR="00C1514A" w:rsidRPr="00500475" w:rsidTr="00EC799F">
        <w:tc>
          <w:tcPr>
            <w:tcW w:w="3240" w:type="dxa"/>
          </w:tcPr>
          <w:p w:rsidR="00C1514A" w:rsidRPr="004307BA" w:rsidRDefault="004307BA" w:rsidP="00A0413B">
            <w:pPr>
              <w:spacing w:line="276" w:lineRule="auto"/>
              <w:rPr>
                <w:rFonts w:ascii="Times New Roman" w:hAnsi="Times New Roman" w:cs="Times New Roman"/>
                <w:sz w:val="20"/>
                <w:szCs w:val="20"/>
              </w:rPr>
            </w:pPr>
            <w:r w:rsidRPr="00596BE2">
              <w:rPr>
                <w:rFonts w:ascii="Times New Roman" w:hAnsi="Times New Roman" w:cs="Times New Roman"/>
                <w:b/>
                <w:sz w:val="20"/>
                <w:szCs w:val="20"/>
              </w:rPr>
              <w:t>Kriteri 7:</w:t>
            </w:r>
            <w:r w:rsidRPr="004307BA">
              <w:rPr>
                <w:rFonts w:ascii="Times New Roman" w:hAnsi="Times New Roman" w:cs="Times New Roman"/>
                <w:sz w:val="20"/>
                <w:szCs w:val="20"/>
              </w:rPr>
              <w:t xml:space="preserve"> Institucioni disponon dokumentacion që sqaron ekzistencën e specialiteteve të ngjashme në strukturat shëndetësore pjesë të rrjetit formues, shërbimeve të përgjithshme dhe diagnostikuese të përfshira në formimin e spec</w:t>
            </w:r>
            <w:r w:rsidR="00A0413B">
              <w:rPr>
                <w:rFonts w:ascii="Times New Roman" w:hAnsi="Times New Roman" w:cs="Times New Roman"/>
                <w:sz w:val="20"/>
                <w:szCs w:val="20"/>
              </w:rPr>
              <w:t>ializantëve (sipas shtojcës 2).</w:t>
            </w:r>
          </w:p>
        </w:tc>
        <w:tc>
          <w:tcPr>
            <w:tcW w:w="6480" w:type="dxa"/>
            <w:gridSpan w:val="4"/>
          </w:tcPr>
          <w:p w:rsidR="00C1514A" w:rsidRPr="00500475" w:rsidRDefault="00C1514A" w:rsidP="00243BA4">
            <w:pPr>
              <w:spacing w:line="276" w:lineRule="auto"/>
              <w:jc w:val="both"/>
              <w:rPr>
                <w:rFonts w:ascii="Times New Roman" w:hAnsi="Times New Roman" w:cs="Times New Roman"/>
                <w:b/>
              </w:rPr>
            </w:pPr>
          </w:p>
        </w:tc>
      </w:tr>
      <w:tr w:rsidR="00C1514A" w:rsidRPr="00500475" w:rsidTr="00EC799F">
        <w:tc>
          <w:tcPr>
            <w:tcW w:w="3240" w:type="dxa"/>
          </w:tcPr>
          <w:p w:rsidR="00C1514A" w:rsidRPr="004307BA" w:rsidRDefault="004307BA" w:rsidP="00A0413B">
            <w:pPr>
              <w:spacing w:line="276" w:lineRule="auto"/>
              <w:rPr>
                <w:rFonts w:ascii="Times New Roman" w:hAnsi="Times New Roman" w:cs="Times New Roman"/>
                <w:sz w:val="20"/>
                <w:szCs w:val="20"/>
              </w:rPr>
            </w:pPr>
            <w:r w:rsidRPr="00596BE2">
              <w:rPr>
                <w:rFonts w:ascii="Times New Roman" w:hAnsi="Times New Roman" w:cs="Times New Roman"/>
                <w:b/>
                <w:sz w:val="20"/>
                <w:szCs w:val="20"/>
              </w:rPr>
              <w:t>Kriteri 8:</w:t>
            </w:r>
            <w:r w:rsidRPr="004307BA">
              <w:rPr>
                <w:rFonts w:ascii="Times New Roman" w:hAnsi="Times New Roman" w:cs="Times New Roman"/>
                <w:sz w:val="20"/>
                <w:szCs w:val="20"/>
              </w:rPr>
              <w:t xml:space="preserve"> Institucioni   disponon   dokumentacion   që   sqaron   numrin   e   shërbimeve </w:t>
            </w:r>
            <w:r w:rsidR="00596BE2" w:rsidRPr="004307BA">
              <w:rPr>
                <w:rFonts w:ascii="Times New Roman" w:hAnsi="Times New Roman" w:cs="Times New Roman"/>
                <w:sz w:val="20"/>
                <w:szCs w:val="20"/>
              </w:rPr>
              <w:t>mjekësore që ofron për ushtrimin profesional të specializantëve (</w:t>
            </w:r>
            <w:r w:rsidR="00A0413B">
              <w:rPr>
                <w:rFonts w:ascii="Times New Roman" w:hAnsi="Times New Roman" w:cs="Times New Roman"/>
                <w:sz w:val="20"/>
                <w:szCs w:val="20"/>
              </w:rPr>
              <w:t>sipas shtojcës 2).</w:t>
            </w:r>
          </w:p>
        </w:tc>
        <w:tc>
          <w:tcPr>
            <w:tcW w:w="6480" w:type="dxa"/>
            <w:gridSpan w:val="4"/>
          </w:tcPr>
          <w:p w:rsidR="00C1514A" w:rsidRPr="00500475" w:rsidRDefault="00C1514A" w:rsidP="00243BA4">
            <w:pPr>
              <w:spacing w:line="276" w:lineRule="auto"/>
              <w:jc w:val="both"/>
              <w:rPr>
                <w:rFonts w:ascii="Times New Roman" w:hAnsi="Times New Roman" w:cs="Times New Roman"/>
                <w:b/>
              </w:rPr>
            </w:pPr>
          </w:p>
        </w:tc>
      </w:tr>
      <w:tr w:rsidR="004307BA" w:rsidRPr="00500475" w:rsidTr="00EC799F">
        <w:tc>
          <w:tcPr>
            <w:tcW w:w="3240" w:type="dxa"/>
          </w:tcPr>
          <w:p w:rsidR="004307BA" w:rsidRPr="004307BA" w:rsidRDefault="004307BA" w:rsidP="004307BA">
            <w:pPr>
              <w:spacing w:line="276" w:lineRule="auto"/>
              <w:rPr>
                <w:rFonts w:ascii="Times New Roman" w:hAnsi="Times New Roman" w:cs="Times New Roman"/>
                <w:sz w:val="20"/>
                <w:szCs w:val="20"/>
              </w:rPr>
            </w:pPr>
            <w:r w:rsidRPr="00596BE2">
              <w:rPr>
                <w:rFonts w:ascii="Times New Roman" w:hAnsi="Times New Roman" w:cs="Times New Roman"/>
                <w:b/>
                <w:sz w:val="20"/>
                <w:szCs w:val="20"/>
              </w:rPr>
              <w:t>Kriteri 9:</w:t>
            </w:r>
            <w:r w:rsidRPr="004307BA">
              <w:rPr>
                <w:rFonts w:ascii="Times New Roman" w:hAnsi="Times New Roman" w:cs="Times New Roman"/>
                <w:sz w:val="20"/>
                <w:szCs w:val="20"/>
              </w:rPr>
              <w:t xml:space="preserve"> Institucioni   duhet   të   disponojë   dokumentacion   që   sqaron   aktivitetin asistencial vjetor të strukturave të përfshira në rrjetin formues. Aktiviteti asistencial vjetor që kryhet nga specializantët në kuadër të formimit të tyre nuk mund të jetë më i madh se 30% e aktivitetit asistencial total që kryejnë strukturat e përfshira në rrje</w:t>
            </w:r>
            <w:r w:rsidR="00A0413B">
              <w:rPr>
                <w:rFonts w:ascii="Times New Roman" w:hAnsi="Times New Roman" w:cs="Times New Roman"/>
                <w:sz w:val="20"/>
                <w:szCs w:val="20"/>
              </w:rPr>
              <w:t>tin formues (sipas shtojcës 2).</w:t>
            </w:r>
          </w:p>
        </w:tc>
        <w:tc>
          <w:tcPr>
            <w:tcW w:w="6480" w:type="dxa"/>
            <w:gridSpan w:val="4"/>
          </w:tcPr>
          <w:p w:rsidR="004307BA" w:rsidRPr="00500475" w:rsidRDefault="004307BA" w:rsidP="00243BA4">
            <w:pPr>
              <w:spacing w:line="276" w:lineRule="auto"/>
              <w:jc w:val="both"/>
              <w:rPr>
                <w:rFonts w:ascii="Times New Roman" w:hAnsi="Times New Roman" w:cs="Times New Roman"/>
                <w:b/>
              </w:rPr>
            </w:pPr>
          </w:p>
        </w:tc>
      </w:tr>
      <w:tr w:rsidR="00C1352C" w:rsidRPr="00500475" w:rsidTr="00EC799F">
        <w:trPr>
          <w:trHeight w:val="315"/>
        </w:trPr>
        <w:tc>
          <w:tcPr>
            <w:tcW w:w="3240" w:type="dxa"/>
            <w:vMerge w:val="restart"/>
            <w:shd w:val="clear" w:color="auto" w:fill="F7CAAC" w:themeFill="accent2" w:themeFillTint="66"/>
          </w:tcPr>
          <w:p w:rsidR="00C1352C" w:rsidRPr="00500475" w:rsidRDefault="00C1352C" w:rsidP="00243BA4">
            <w:pPr>
              <w:spacing w:line="276" w:lineRule="auto"/>
              <w:rPr>
                <w:rFonts w:ascii="Times New Roman" w:hAnsi="Times New Roman" w:cs="Times New Roman"/>
                <w:b/>
              </w:rPr>
            </w:pPr>
            <w:r w:rsidRPr="00500475">
              <w:rPr>
                <w:rFonts w:ascii="Times New Roman" w:hAnsi="Times New Roman" w:cs="Times New Roman"/>
                <w:b/>
              </w:rPr>
              <w:t>Shkalla e përmbushjes sëstandardit</w:t>
            </w:r>
          </w:p>
        </w:tc>
        <w:tc>
          <w:tcPr>
            <w:tcW w:w="1440" w:type="dxa"/>
            <w:shd w:val="clear" w:color="auto" w:fill="FF00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Nuk përmbushet</w:t>
            </w:r>
          </w:p>
        </w:tc>
        <w:tc>
          <w:tcPr>
            <w:tcW w:w="1530" w:type="dxa"/>
            <w:shd w:val="clear" w:color="auto" w:fill="FF66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pjesërisht</w:t>
            </w:r>
          </w:p>
        </w:tc>
        <w:tc>
          <w:tcPr>
            <w:tcW w:w="1800" w:type="dxa"/>
            <w:shd w:val="clear" w:color="auto" w:fill="CCCC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krye</w:t>
            </w:r>
            <w:r w:rsidRPr="00500475">
              <w:rPr>
                <w:rFonts w:ascii="Times New Roman" w:hAnsi="Times New Roman" w:cs="Times New Roman"/>
                <w:b/>
                <w:shd w:val="clear" w:color="auto" w:fill="CCCC00"/>
              </w:rPr>
              <w:t>s</w:t>
            </w:r>
            <w:r w:rsidRPr="00500475">
              <w:rPr>
                <w:rFonts w:ascii="Times New Roman" w:hAnsi="Times New Roman" w:cs="Times New Roman"/>
                <w:b/>
              </w:rPr>
              <w:t>isht</w:t>
            </w:r>
          </w:p>
        </w:tc>
        <w:tc>
          <w:tcPr>
            <w:tcW w:w="1710" w:type="dxa"/>
            <w:shd w:val="clear" w:color="auto" w:fill="92D05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plotësisht</w:t>
            </w:r>
          </w:p>
        </w:tc>
      </w:tr>
      <w:tr w:rsidR="00C1352C" w:rsidRPr="00500475" w:rsidTr="00EC799F">
        <w:trPr>
          <w:trHeight w:val="422"/>
        </w:trPr>
        <w:tc>
          <w:tcPr>
            <w:tcW w:w="3240" w:type="dxa"/>
            <w:vMerge/>
            <w:shd w:val="clear" w:color="auto" w:fill="F7CAAC" w:themeFill="accent2" w:themeFillTint="66"/>
          </w:tcPr>
          <w:p w:rsidR="00C1352C" w:rsidRPr="00500475" w:rsidRDefault="00C1352C" w:rsidP="00243BA4">
            <w:pPr>
              <w:spacing w:line="276" w:lineRule="auto"/>
              <w:rPr>
                <w:rFonts w:ascii="Times New Roman" w:hAnsi="Times New Roman" w:cs="Times New Roman"/>
                <w:b/>
              </w:rPr>
            </w:pPr>
          </w:p>
        </w:tc>
        <w:tc>
          <w:tcPr>
            <w:tcW w:w="1440" w:type="dxa"/>
          </w:tcPr>
          <w:p w:rsidR="00C1352C" w:rsidRPr="00500475" w:rsidRDefault="00C1352C" w:rsidP="00243BA4">
            <w:pPr>
              <w:spacing w:line="276" w:lineRule="auto"/>
              <w:jc w:val="both"/>
              <w:rPr>
                <w:rFonts w:ascii="Times New Roman" w:hAnsi="Times New Roman" w:cs="Times New Roman"/>
                <w:b/>
              </w:rPr>
            </w:pPr>
          </w:p>
        </w:tc>
        <w:tc>
          <w:tcPr>
            <w:tcW w:w="1530" w:type="dxa"/>
          </w:tcPr>
          <w:p w:rsidR="00C1352C" w:rsidRPr="00500475" w:rsidRDefault="00C1352C" w:rsidP="00243BA4">
            <w:pPr>
              <w:spacing w:line="276" w:lineRule="auto"/>
              <w:jc w:val="both"/>
              <w:rPr>
                <w:rFonts w:ascii="Times New Roman" w:hAnsi="Times New Roman" w:cs="Times New Roman"/>
                <w:b/>
              </w:rPr>
            </w:pPr>
          </w:p>
        </w:tc>
        <w:tc>
          <w:tcPr>
            <w:tcW w:w="1800" w:type="dxa"/>
          </w:tcPr>
          <w:p w:rsidR="00C1352C" w:rsidRPr="00500475" w:rsidRDefault="00C1352C" w:rsidP="00243BA4">
            <w:pPr>
              <w:spacing w:line="276" w:lineRule="auto"/>
              <w:jc w:val="both"/>
              <w:rPr>
                <w:rFonts w:ascii="Times New Roman" w:hAnsi="Times New Roman" w:cs="Times New Roman"/>
                <w:b/>
              </w:rPr>
            </w:pPr>
          </w:p>
        </w:tc>
        <w:tc>
          <w:tcPr>
            <w:tcW w:w="1710" w:type="dxa"/>
          </w:tcPr>
          <w:p w:rsidR="00C1352C" w:rsidRPr="00500475" w:rsidRDefault="00C1352C" w:rsidP="00243BA4">
            <w:pPr>
              <w:spacing w:line="276" w:lineRule="auto"/>
              <w:jc w:val="both"/>
              <w:rPr>
                <w:rFonts w:ascii="Times New Roman" w:hAnsi="Times New Roman" w:cs="Times New Roman"/>
                <w:b/>
              </w:rPr>
            </w:pPr>
          </w:p>
        </w:tc>
      </w:tr>
    </w:tbl>
    <w:p w:rsidR="00B100A2" w:rsidRPr="00500475" w:rsidRDefault="00B100A2"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243"/>
        <w:gridCol w:w="1341"/>
        <w:gridCol w:w="1768"/>
        <w:gridCol w:w="1633"/>
        <w:gridCol w:w="1735"/>
      </w:tblGrid>
      <w:tr w:rsidR="00C1352C" w:rsidRPr="00500475" w:rsidTr="00243BA4">
        <w:tc>
          <w:tcPr>
            <w:tcW w:w="9720" w:type="dxa"/>
            <w:gridSpan w:val="5"/>
            <w:shd w:val="clear" w:color="auto" w:fill="F7CAAC" w:themeFill="accent2" w:themeFillTint="66"/>
          </w:tcPr>
          <w:p w:rsidR="00C1352C" w:rsidRPr="00500475" w:rsidRDefault="00C1352C" w:rsidP="00243BA4">
            <w:pPr>
              <w:ind w:left="1843" w:hanging="1843"/>
              <w:jc w:val="both"/>
              <w:rPr>
                <w:rFonts w:ascii="Times New Roman" w:hAnsi="Times New Roman" w:cs="Times New Roman"/>
                <w:b/>
                <w:lang w:val="sq-AL"/>
              </w:rPr>
            </w:pPr>
            <w:r w:rsidRPr="00500475">
              <w:rPr>
                <w:rFonts w:ascii="Times New Roman" w:hAnsi="Times New Roman" w:cs="Times New Roman"/>
                <w:b/>
                <w:lang w:val="sq-AL"/>
              </w:rPr>
              <w:t>Standardi III.6</w:t>
            </w:r>
            <w:r w:rsidRPr="00500475">
              <w:rPr>
                <w:rFonts w:ascii="Times New Roman" w:hAnsi="Times New Roman" w:cs="Times New Roman"/>
                <w:b/>
                <w:lang w:val="sq-AL"/>
              </w:rPr>
              <w:tab/>
            </w:r>
          </w:p>
          <w:p w:rsidR="00C1352C" w:rsidRPr="00500475" w:rsidRDefault="00596BE2" w:rsidP="00243BA4">
            <w:pPr>
              <w:rPr>
                <w:rFonts w:ascii="Times New Roman" w:hAnsi="Times New Roman" w:cs="Times New Roman"/>
                <w:b/>
                <w:color w:val="000000" w:themeColor="text1"/>
              </w:rPr>
            </w:pPr>
            <w:r w:rsidRPr="00596BE2">
              <w:rPr>
                <w:rFonts w:ascii="Times New Roman" w:hAnsi="Times New Roman" w:cs="Times New Roman"/>
                <w:b/>
                <w:lang w:val="sq-AL"/>
              </w:rPr>
              <w:t>Njësia përgjegjëse për programin e specializimit afatgjatë dëshmon qëndrueshmëri financiare dhe siguron mjetet e duhura të financimit dhe mbështetjes së studentëve</w:t>
            </w:r>
            <w:r>
              <w:rPr>
                <w:rFonts w:ascii="Times New Roman" w:hAnsi="Times New Roman" w:cs="Times New Roman"/>
                <w:b/>
                <w:lang w:val="sq-AL"/>
              </w:rPr>
              <w:t>.</w:t>
            </w:r>
          </w:p>
        </w:tc>
      </w:tr>
      <w:tr w:rsidR="00C1352C" w:rsidRPr="00500475" w:rsidTr="007F3BC7">
        <w:trPr>
          <w:trHeight w:val="377"/>
        </w:trPr>
        <w:tc>
          <w:tcPr>
            <w:tcW w:w="3243" w:type="dxa"/>
            <w:shd w:val="clear" w:color="auto" w:fill="C5E0B3" w:themeFill="accent6" w:themeFillTint="66"/>
          </w:tcPr>
          <w:p w:rsidR="00C1352C" w:rsidRPr="00500475" w:rsidRDefault="00C1352C" w:rsidP="00243BA4">
            <w:pPr>
              <w:spacing w:line="276" w:lineRule="auto"/>
              <w:jc w:val="both"/>
              <w:rPr>
                <w:rFonts w:ascii="Times New Roman" w:eastAsia="Times New Roman" w:hAnsi="Times New Roman" w:cs="Times New Roman"/>
                <w:b/>
                <w:bCs/>
                <w:lang w:val="sq-AL"/>
              </w:rPr>
            </w:pPr>
            <w:r w:rsidRPr="00500475">
              <w:rPr>
                <w:rFonts w:ascii="Times New Roman" w:eastAsia="Times New Roman" w:hAnsi="Times New Roman" w:cs="Times New Roman"/>
                <w:b/>
                <w:bCs/>
                <w:lang w:val="sq-AL"/>
              </w:rPr>
              <w:t>Kriteret</w:t>
            </w:r>
          </w:p>
        </w:tc>
        <w:tc>
          <w:tcPr>
            <w:tcW w:w="6477" w:type="dxa"/>
            <w:gridSpan w:val="4"/>
            <w:shd w:val="clear" w:color="auto" w:fill="C5E0B3" w:themeFill="accent6" w:themeFillTint="66"/>
          </w:tcPr>
          <w:p w:rsidR="00C1352C" w:rsidRPr="00500475" w:rsidRDefault="00C1352C" w:rsidP="00A0413B">
            <w:pPr>
              <w:spacing w:line="276" w:lineRule="auto"/>
              <w:jc w:val="center"/>
              <w:rPr>
                <w:rFonts w:ascii="Times New Roman" w:eastAsia="Times New Roman" w:hAnsi="Times New Roman" w:cs="Times New Roman"/>
                <w:b/>
                <w:bCs/>
                <w:lang w:val="sq-AL"/>
              </w:rPr>
            </w:pPr>
            <w:r w:rsidRPr="00500475">
              <w:rPr>
                <w:rFonts w:ascii="Times New Roman" w:eastAsia="Times New Roman" w:hAnsi="Times New Roman" w:cs="Times New Roman"/>
                <w:b/>
                <w:bCs/>
                <w:lang w:val="sq-AL"/>
              </w:rPr>
              <w:t>Vlerësimi i ekspertëve</w:t>
            </w:r>
          </w:p>
        </w:tc>
      </w:tr>
      <w:tr w:rsidR="00BA509A" w:rsidRPr="00500475" w:rsidTr="007F3BC7">
        <w:tc>
          <w:tcPr>
            <w:tcW w:w="3243" w:type="dxa"/>
          </w:tcPr>
          <w:p w:rsidR="00BA509A" w:rsidRPr="00596BE2" w:rsidRDefault="00596BE2" w:rsidP="00A0413B">
            <w:pPr>
              <w:spacing w:line="276" w:lineRule="auto"/>
              <w:rPr>
                <w:rFonts w:ascii="Times New Roman" w:hAnsi="Times New Roman" w:cs="Times New Roman"/>
                <w:sz w:val="20"/>
                <w:szCs w:val="20"/>
              </w:rPr>
            </w:pPr>
            <w:r w:rsidRPr="00596BE2">
              <w:rPr>
                <w:rFonts w:ascii="Times New Roman" w:hAnsi="Times New Roman" w:cs="Times New Roman"/>
                <w:b/>
                <w:sz w:val="20"/>
                <w:szCs w:val="20"/>
              </w:rPr>
              <w:t>Kriteri 1:</w:t>
            </w:r>
            <w:r w:rsidRPr="00596BE2">
              <w:rPr>
                <w:rFonts w:ascii="Times New Roman" w:hAnsi="Times New Roman" w:cs="Times New Roman"/>
                <w:sz w:val="20"/>
                <w:szCs w:val="20"/>
              </w:rPr>
              <w:t xml:space="preserve"> Institucioni nëpërmjet raporteve dhe auditeve financiare dëshmon ecuri pozitive dhe </w:t>
            </w:r>
            <w:r w:rsidRPr="00596BE2">
              <w:rPr>
                <w:rFonts w:ascii="Times New Roman" w:hAnsi="Times New Roman" w:cs="Times New Roman"/>
                <w:sz w:val="20"/>
                <w:szCs w:val="20"/>
              </w:rPr>
              <w:lastRenderedPageBreak/>
              <w:t>qëndrueshmëri në gjenerimin dhe përdo</w:t>
            </w:r>
            <w:r w:rsidR="00A0413B">
              <w:rPr>
                <w:rFonts w:ascii="Times New Roman" w:hAnsi="Times New Roman" w:cs="Times New Roman"/>
                <w:sz w:val="20"/>
                <w:szCs w:val="20"/>
              </w:rPr>
              <w:t>rimin e të ardhurave financire.</w:t>
            </w:r>
          </w:p>
        </w:tc>
        <w:tc>
          <w:tcPr>
            <w:tcW w:w="6477"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7F3BC7">
        <w:tc>
          <w:tcPr>
            <w:tcW w:w="3243" w:type="dxa"/>
          </w:tcPr>
          <w:p w:rsidR="00BA509A" w:rsidRPr="00596BE2" w:rsidRDefault="00596BE2" w:rsidP="00A0413B">
            <w:pPr>
              <w:spacing w:line="276" w:lineRule="auto"/>
              <w:rPr>
                <w:rFonts w:ascii="Times New Roman" w:hAnsi="Times New Roman" w:cs="Times New Roman"/>
                <w:sz w:val="20"/>
                <w:szCs w:val="20"/>
              </w:rPr>
            </w:pPr>
            <w:r w:rsidRPr="00596BE2">
              <w:rPr>
                <w:rFonts w:ascii="Times New Roman" w:hAnsi="Times New Roman" w:cs="Times New Roman"/>
                <w:b/>
                <w:sz w:val="20"/>
                <w:szCs w:val="20"/>
              </w:rPr>
              <w:t>Kriteri 2:</w:t>
            </w:r>
            <w:r w:rsidRPr="00596BE2">
              <w:rPr>
                <w:rFonts w:ascii="Times New Roman" w:hAnsi="Times New Roman" w:cs="Times New Roman"/>
                <w:sz w:val="20"/>
                <w:szCs w:val="20"/>
              </w:rPr>
              <w:t xml:space="preserve"> Njësia përgjegjëse siguron nëpërmjet institucionit, projekteve ose financimeve nga subjekte të tjera fondet e nevojshme për zhvillimin </w:t>
            </w:r>
            <w:r w:rsidR="00A0413B">
              <w:rPr>
                <w:rFonts w:ascii="Times New Roman" w:hAnsi="Times New Roman" w:cs="Times New Roman"/>
                <w:sz w:val="20"/>
                <w:szCs w:val="20"/>
              </w:rPr>
              <w:t>e programeve të specializimeve.</w:t>
            </w:r>
          </w:p>
        </w:tc>
        <w:tc>
          <w:tcPr>
            <w:tcW w:w="6477"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7F3BC7">
        <w:tc>
          <w:tcPr>
            <w:tcW w:w="3243" w:type="dxa"/>
          </w:tcPr>
          <w:p w:rsidR="00BA509A" w:rsidRPr="00596BE2" w:rsidRDefault="00596BE2" w:rsidP="00A0413B">
            <w:pPr>
              <w:spacing w:line="276" w:lineRule="auto"/>
              <w:rPr>
                <w:rFonts w:ascii="Times New Roman" w:hAnsi="Times New Roman" w:cs="Times New Roman"/>
                <w:sz w:val="20"/>
                <w:szCs w:val="20"/>
              </w:rPr>
            </w:pPr>
            <w:r w:rsidRPr="00596BE2">
              <w:rPr>
                <w:rFonts w:ascii="Times New Roman" w:hAnsi="Times New Roman" w:cs="Times New Roman"/>
                <w:b/>
                <w:sz w:val="20"/>
                <w:szCs w:val="20"/>
              </w:rPr>
              <w:t>Kriteri 3:</w:t>
            </w:r>
            <w:r w:rsidRPr="00596BE2">
              <w:rPr>
                <w:rFonts w:ascii="Times New Roman" w:hAnsi="Times New Roman" w:cs="Times New Roman"/>
                <w:sz w:val="20"/>
                <w:szCs w:val="20"/>
              </w:rPr>
              <w:t xml:space="preserve"> Programi i studimeve të specializimit afatgjatë mbështetet nga një buxhet i mja</w:t>
            </w:r>
            <w:r w:rsidR="00A0413B">
              <w:rPr>
                <w:rFonts w:ascii="Times New Roman" w:hAnsi="Times New Roman" w:cs="Times New Roman"/>
                <w:sz w:val="20"/>
                <w:szCs w:val="20"/>
              </w:rPr>
              <w:t>ftueshëm i njësisë përgjegjëse.</w:t>
            </w:r>
          </w:p>
        </w:tc>
        <w:tc>
          <w:tcPr>
            <w:tcW w:w="6477" w:type="dxa"/>
            <w:gridSpan w:val="4"/>
          </w:tcPr>
          <w:p w:rsidR="00BA509A" w:rsidRPr="00500475" w:rsidRDefault="00BA509A" w:rsidP="00243BA4">
            <w:pPr>
              <w:spacing w:line="276" w:lineRule="auto"/>
              <w:jc w:val="both"/>
              <w:rPr>
                <w:rFonts w:ascii="Times New Roman" w:hAnsi="Times New Roman" w:cs="Times New Roman"/>
                <w:b/>
              </w:rPr>
            </w:pPr>
          </w:p>
        </w:tc>
      </w:tr>
      <w:tr w:rsidR="00596BE2" w:rsidRPr="00500475" w:rsidTr="007F3BC7">
        <w:tc>
          <w:tcPr>
            <w:tcW w:w="3243" w:type="dxa"/>
          </w:tcPr>
          <w:p w:rsidR="00596BE2" w:rsidRPr="00596BE2" w:rsidRDefault="00596BE2" w:rsidP="00596BE2">
            <w:pPr>
              <w:spacing w:line="276" w:lineRule="auto"/>
              <w:rPr>
                <w:rFonts w:ascii="Times New Roman" w:hAnsi="Times New Roman" w:cs="Times New Roman"/>
                <w:sz w:val="20"/>
                <w:szCs w:val="20"/>
              </w:rPr>
            </w:pPr>
            <w:r w:rsidRPr="00596BE2">
              <w:rPr>
                <w:rFonts w:ascii="Times New Roman" w:hAnsi="Times New Roman" w:cs="Times New Roman"/>
                <w:b/>
                <w:sz w:val="20"/>
                <w:szCs w:val="20"/>
              </w:rPr>
              <w:t>Kriteri 4:</w:t>
            </w:r>
            <w:r w:rsidRPr="00596BE2">
              <w:rPr>
                <w:rFonts w:ascii="Times New Roman" w:hAnsi="Times New Roman" w:cs="Times New Roman"/>
                <w:sz w:val="20"/>
                <w:szCs w:val="20"/>
              </w:rPr>
              <w:t xml:space="preserve"> Struktura e shpërndarjes së buxhetit financiar të programit të studimeve të specializimeve përputhet me politikën d</w:t>
            </w:r>
            <w:r w:rsidR="00A0413B">
              <w:rPr>
                <w:rFonts w:ascii="Times New Roman" w:hAnsi="Times New Roman" w:cs="Times New Roman"/>
                <w:sz w:val="20"/>
                <w:szCs w:val="20"/>
              </w:rPr>
              <w:t xml:space="preserve">he zhvillimin e institucionit. </w:t>
            </w:r>
          </w:p>
        </w:tc>
        <w:tc>
          <w:tcPr>
            <w:tcW w:w="6477" w:type="dxa"/>
            <w:gridSpan w:val="4"/>
          </w:tcPr>
          <w:p w:rsidR="00596BE2" w:rsidRPr="00500475" w:rsidRDefault="00596BE2" w:rsidP="00243BA4">
            <w:pPr>
              <w:spacing w:line="276" w:lineRule="auto"/>
              <w:jc w:val="both"/>
              <w:rPr>
                <w:rFonts w:ascii="Times New Roman" w:hAnsi="Times New Roman" w:cs="Times New Roman"/>
                <w:b/>
              </w:rPr>
            </w:pPr>
          </w:p>
        </w:tc>
      </w:tr>
      <w:tr w:rsidR="00596BE2" w:rsidRPr="00500475" w:rsidTr="007F3BC7">
        <w:tc>
          <w:tcPr>
            <w:tcW w:w="3243" w:type="dxa"/>
          </w:tcPr>
          <w:p w:rsidR="00596BE2" w:rsidRPr="00596BE2" w:rsidRDefault="00596BE2" w:rsidP="00A0413B">
            <w:pPr>
              <w:spacing w:line="276" w:lineRule="auto"/>
              <w:rPr>
                <w:rFonts w:ascii="Times New Roman" w:hAnsi="Times New Roman" w:cs="Times New Roman"/>
                <w:sz w:val="20"/>
                <w:szCs w:val="20"/>
              </w:rPr>
            </w:pPr>
            <w:r w:rsidRPr="00596BE2">
              <w:rPr>
                <w:rFonts w:ascii="Times New Roman" w:hAnsi="Times New Roman" w:cs="Times New Roman"/>
                <w:b/>
                <w:sz w:val="20"/>
                <w:szCs w:val="20"/>
              </w:rPr>
              <w:t>Kriteri 5:</w:t>
            </w:r>
            <w:r w:rsidRPr="00596BE2">
              <w:rPr>
                <w:rFonts w:ascii="Times New Roman" w:hAnsi="Times New Roman" w:cs="Times New Roman"/>
                <w:sz w:val="20"/>
                <w:szCs w:val="20"/>
              </w:rPr>
              <w:t xml:space="preserve"> Përdorimi i mjeteve financiare të alokuara për zhvillimin e programit të specializimit është objekt i raportimi</w:t>
            </w:r>
            <w:r w:rsidR="00A0413B">
              <w:rPr>
                <w:rFonts w:ascii="Times New Roman" w:hAnsi="Times New Roman" w:cs="Times New Roman"/>
                <w:sz w:val="20"/>
                <w:szCs w:val="20"/>
              </w:rPr>
              <w:t>t dhe auditimit të vazhdueshëm.</w:t>
            </w:r>
          </w:p>
        </w:tc>
        <w:tc>
          <w:tcPr>
            <w:tcW w:w="6477" w:type="dxa"/>
            <w:gridSpan w:val="4"/>
          </w:tcPr>
          <w:p w:rsidR="00596BE2" w:rsidRPr="00500475" w:rsidRDefault="00596BE2" w:rsidP="00243BA4">
            <w:pPr>
              <w:spacing w:line="276" w:lineRule="auto"/>
              <w:jc w:val="both"/>
              <w:rPr>
                <w:rFonts w:ascii="Times New Roman" w:hAnsi="Times New Roman" w:cs="Times New Roman"/>
                <w:b/>
              </w:rPr>
            </w:pPr>
          </w:p>
        </w:tc>
      </w:tr>
      <w:tr w:rsidR="006565A7" w:rsidRPr="00500475" w:rsidTr="007F3BC7">
        <w:trPr>
          <w:trHeight w:val="315"/>
        </w:trPr>
        <w:tc>
          <w:tcPr>
            <w:tcW w:w="3243" w:type="dxa"/>
            <w:vMerge w:val="restart"/>
            <w:shd w:val="clear" w:color="auto" w:fill="F7CAAC" w:themeFill="accent2" w:themeFillTint="66"/>
          </w:tcPr>
          <w:p w:rsidR="00C1352C" w:rsidRPr="00500475" w:rsidRDefault="00C1352C" w:rsidP="00243BA4">
            <w:pPr>
              <w:spacing w:line="276" w:lineRule="auto"/>
              <w:rPr>
                <w:rFonts w:ascii="Times New Roman" w:hAnsi="Times New Roman" w:cs="Times New Roman"/>
                <w:b/>
              </w:rPr>
            </w:pPr>
            <w:r w:rsidRPr="00500475">
              <w:rPr>
                <w:rFonts w:ascii="Times New Roman" w:hAnsi="Times New Roman" w:cs="Times New Roman"/>
                <w:b/>
              </w:rPr>
              <w:t>Shkalla e përmbushjes së standardit</w:t>
            </w:r>
          </w:p>
        </w:tc>
        <w:tc>
          <w:tcPr>
            <w:tcW w:w="1341" w:type="dxa"/>
            <w:shd w:val="clear" w:color="auto" w:fill="FF00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Nuk përmbushet</w:t>
            </w:r>
          </w:p>
        </w:tc>
        <w:tc>
          <w:tcPr>
            <w:tcW w:w="1768" w:type="dxa"/>
            <w:shd w:val="clear" w:color="auto" w:fill="FF66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pjesërisht</w:t>
            </w:r>
          </w:p>
        </w:tc>
        <w:tc>
          <w:tcPr>
            <w:tcW w:w="1633" w:type="dxa"/>
            <w:shd w:val="clear" w:color="auto" w:fill="CCCC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krye</w:t>
            </w:r>
            <w:r w:rsidRPr="00500475">
              <w:rPr>
                <w:rFonts w:ascii="Times New Roman" w:hAnsi="Times New Roman" w:cs="Times New Roman"/>
                <w:b/>
                <w:shd w:val="clear" w:color="auto" w:fill="CCCC00"/>
              </w:rPr>
              <w:t>s</w:t>
            </w:r>
            <w:r w:rsidRPr="00500475">
              <w:rPr>
                <w:rFonts w:ascii="Times New Roman" w:hAnsi="Times New Roman" w:cs="Times New Roman"/>
                <w:b/>
              </w:rPr>
              <w:t>isht</w:t>
            </w:r>
          </w:p>
        </w:tc>
        <w:tc>
          <w:tcPr>
            <w:tcW w:w="1735" w:type="dxa"/>
            <w:shd w:val="clear" w:color="auto" w:fill="92D05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plotësisht</w:t>
            </w:r>
          </w:p>
        </w:tc>
      </w:tr>
      <w:tr w:rsidR="006565A7" w:rsidRPr="00500475" w:rsidTr="007F3BC7">
        <w:trPr>
          <w:trHeight w:val="341"/>
        </w:trPr>
        <w:tc>
          <w:tcPr>
            <w:tcW w:w="3243" w:type="dxa"/>
            <w:vMerge/>
            <w:shd w:val="clear" w:color="auto" w:fill="F7CAAC" w:themeFill="accent2" w:themeFillTint="66"/>
          </w:tcPr>
          <w:p w:rsidR="00C1352C" w:rsidRPr="00500475" w:rsidRDefault="00C1352C" w:rsidP="00243BA4">
            <w:pPr>
              <w:spacing w:line="276" w:lineRule="auto"/>
              <w:rPr>
                <w:rFonts w:ascii="Times New Roman" w:hAnsi="Times New Roman" w:cs="Times New Roman"/>
                <w:b/>
              </w:rPr>
            </w:pPr>
          </w:p>
        </w:tc>
        <w:tc>
          <w:tcPr>
            <w:tcW w:w="1341" w:type="dxa"/>
          </w:tcPr>
          <w:p w:rsidR="00C1352C" w:rsidRPr="00500475" w:rsidRDefault="00C1352C" w:rsidP="00243BA4">
            <w:pPr>
              <w:spacing w:line="276" w:lineRule="auto"/>
              <w:jc w:val="both"/>
              <w:rPr>
                <w:rFonts w:ascii="Times New Roman" w:hAnsi="Times New Roman" w:cs="Times New Roman"/>
                <w:b/>
              </w:rPr>
            </w:pPr>
          </w:p>
        </w:tc>
        <w:tc>
          <w:tcPr>
            <w:tcW w:w="1768" w:type="dxa"/>
          </w:tcPr>
          <w:p w:rsidR="00C1352C" w:rsidRPr="00500475" w:rsidRDefault="00C1352C" w:rsidP="00243BA4">
            <w:pPr>
              <w:spacing w:line="276" w:lineRule="auto"/>
              <w:jc w:val="both"/>
              <w:rPr>
                <w:rFonts w:ascii="Times New Roman" w:hAnsi="Times New Roman" w:cs="Times New Roman"/>
                <w:b/>
              </w:rPr>
            </w:pPr>
          </w:p>
        </w:tc>
        <w:tc>
          <w:tcPr>
            <w:tcW w:w="1633" w:type="dxa"/>
          </w:tcPr>
          <w:p w:rsidR="00C1352C" w:rsidRPr="00500475" w:rsidRDefault="00C1352C" w:rsidP="00243BA4">
            <w:pPr>
              <w:spacing w:line="276" w:lineRule="auto"/>
              <w:jc w:val="both"/>
              <w:rPr>
                <w:rFonts w:ascii="Times New Roman" w:hAnsi="Times New Roman" w:cs="Times New Roman"/>
                <w:b/>
              </w:rPr>
            </w:pPr>
          </w:p>
        </w:tc>
        <w:tc>
          <w:tcPr>
            <w:tcW w:w="1735" w:type="dxa"/>
          </w:tcPr>
          <w:p w:rsidR="00C1352C" w:rsidRPr="00500475" w:rsidRDefault="00C1352C" w:rsidP="00243BA4">
            <w:pPr>
              <w:spacing w:line="276" w:lineRule="auto"/>
              <w:jc w:val="both"/>
              <w:rPr>
                <w:rFonts w:ascii="Times New Roman" w:hAnsi="Times New Roman" w:cs="Times New Roman"/>
                <w:b/>
              </w:rPr>
            </w:pPr>
          </w:p>
        </w:tc>
      </w:tr>
    </w:tbl>
    <w:p w:rsidR="00C1352C" w:rsidRPr="00500475" w:rsidRDefault="00C1352C" w:rsidP="00C1352C">
      <w:pPr>
        <w:spacing w:line="276" w:lineRule="auto"/>
        <w:jc w:val="both"/>
        <w:rPr>
          <w:rFonts w:ascii="Times New Roman" w:hAnsi="Times New Roman" w:cs="Times New Roman"/>
          <w:b/>
        </w:rPr>
      </w:pPr>
    </w:p>
    <w:tbl>
      <w:tblPr>
        <w:tblStyle w:val="TableGrid"/>
        <w:tblW w:w="9720" w:type="dxa"/>
        <w:tblInd w:w="-185" w:type="dxa"/>
        <w:tblLayout w:type="fixed"/>
        <w:tblLook w:val="04A0" w:firstRow="1" w:lastRow="0" w:firstColumn="1" w:lastColumn="0" w:noHBand="0" w:noVBand="1"/>
      </w:tblPr>
      <w:tblGrid>
        <w:gridCol w:w="3240"/>
        <w:gridCol w:w="1350"/>
        <w:gridCol w:w="1800"/>
        <w:gridCol w:w="1620"/>
        <w:gridCol w:w="1710"/>
      </w:tblGrid>
      <w:tr w:rsidR="00C1352C" w:rsidRPr="00500475" w:rsidTr="00504DE4">
        <w:trPr>
          <w:trHeight w:val="701"/>
        </w:trPr>
        <w:tc>
          <w:tcPr>
            <w:tcW w:w="3240" w:type="dxa"/>
            <w:vMerge w:val="restart"/>
          </w:tcPr>
          <w:p w:rsidR="00C1352C" w:rsidRPr="00500475" w:rsidRDefault="00C1352C" w:rsidP="00243BA4">
            <w:pPr>
              <w:spacing w:line="276" w:lineRule="auto"/>
              <w:rPr>
                <w:rFonts w:ascii="Times New Roman" w:hAnsi="Times New Roman" w:cs="Times New Roman"/>
                <w:b/>
              </w:rPr>
            </w:pPr>
            <w:r w:rsidRPr="00500475">
              <w:rPr>
                <w:rFonts w:ascii="Times New Roman" w:hAnsi="Times New Roman" w:cs="Times New Roman"/>
                <w:b/>
              </w:rPr>
              <w:t>Shkalla e përmbushjes së standardeve të fushës III</w:t>
            </w:r>
          </w:p>
        </w:tc>
        <w:tc>
          <w:tcPr>
            <w:tcW w:w="1350" w:type="dxa"/>
            <w:shd w:val="clear" w:color="auto" w:fill="FF00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Nuk përmbushet</w:t>
            </w:r>
          </w:p>
        </w:tc>
        <w:tc>
          <w:tcPr>
            <w:tcW w:w="1800" w:type="dxa"/>
            <w:shd w:val="clear" w:color="auto" w:fill="FF66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pjesërisht</w:t>
            </w:r>
          </w:p>
        </w:tc>
        <w:tc>
          <w:tcPr>
            <w:tcW w:w="1620" w:type="dxa"/>
            <w:shd w:val="clear" w:color="auto" w:fill="CCCC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kryesisht</w:t>
            </w:r>
          </w:p>
        </w:tc>
        <w:tc>
          <w:tcPr>
            <w:tcW w:w="1710" w:type="dxa"/>
            <w:shd w:val="clear" w:color="auto" w:fill="92D05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plotësisht</w:t>
            </w:r>
          </w:p>
        </w:tc>
      </w:tr>
      <w:tr w:rsidR="00C1352C" w:rsidRPr="00500475" w:rsidTr="00A0413B">
        <w:trPr>
          <w:trHeight w:val="350"/>
        </w:trPr>
        <w:tc>
          <w:tcPr>
            <w:tcW w:w="3240" w:type="dxa"/>
            <w:vMerge/>
          </w:tcPr>
          <w:p w:rsidR="00C1352C" w:rsidRPr="00500475" w:rsidRDefault="00C1352C" w:rsidP="00243BA4">
            <w:pPr>
              <w:spacing w:line="276" w:lineRule="auto"/>
              <w:rPr>
                <w:rFonts w:ascii="Times New Roman" w:hAnsi="Times New Roman" w:cs="Times New Roman"/>
                <w:b/>
              </w:rPr>
            </w:pPr>
          </w:p>
        </w:tc>
        <w:tc>
          <w:tcPr>
            <w:tcW w:w="1350" w:type="dxa"/>
          </w:tcPr>
          <w:p w:rsidR="00C1352C" w:rsidRPr="00500475" w:rsidRDefault="00C1352C" w:rsidP="00243BA4">
            <w:pPr>
              <w:spacing w:line="276" w:lineRule="auto"/>
              <w:jc w:val="both"/>
              <w:rPr>
                <w:rFonts w:ascii="Times New Roman" w:hAnsi="Times New Roman" w:cs="Times New Roman"/>
                <w:b/>
              </w:rPr>
            </w:pPr>
          </w:p>
        </w:tc>
        <w:tc>
          <w:tcPr>
            <w:tcW w:w="1800" w:type="dxa"/>
          </w:tcPr>
          <w:p w:rsidR="00C1352C" w:rsidRPr="00500475" w:rsidRDefault="00C1352C" w:rsidP="00243BA4">
            <w:pPr>
              <w:spacing w:line="276" w:lineRule="auto"/>
              <w:jc w:val="both"/>
              <w:rPr>
                <w:rFonts w:ascii="Times New Roman" w:hAnsi="Times New Roman" w:cs="Times New Roman"/>
                <w:b/>
              </w:rPr>
            </w:pPr>
          </w:p>
        </w:tc>
        <w:tc>
          <w:tcPr>
            <w:tcW w:w="1620" w:type="dxa"/>
          </w:tcPr>
          <w:p w:rsidR="00C1352C" w:rsidRPr="00500475" w:rsidRDefault="00C1352C" w:rsidP="00243BA4">
            <w:pPr>
              <w:spacing w:line="276" w:lineRule="auto"/>
              <w:jc w:val="both"/>
              <w:rPr>
                <w:rFonts w:ascii="Times New Roman" w:hAnsi="Times New Roman" w:cs="Times New Roman"/>
                <w:b/>
              </w:rPr>
            </w:pPr>
          </w:p>
        </w:tc>
        <w:tc>
          <w:tcPr>
            <w:tcW w:w="1710" w:type="dxa"/>
          </w:tcPr>
          <w:p w:rsidR="00C1352C" w:rsidRPr="00500475" w:rsidRDefault="00C1352C" w:rsidP="00243BA4">
            <w:pPr>
              <w:spacing w:line="276" w:lineRule="auto"/>
              <w:jc w:val="both"/>
              <w:rPr>
                <w:rFonts w:ascii="Times New Roman" w:hAnsi="Times New Roman" w:cs="Times New Roman"/>
                <w:b/>
              </w:rPr>
            </w:pPr>
          </w:p>
        </w:tc>
      </w:tr>
    </w:tbl>
    <w:p w:rsidR="00301624" w:rsidRDefault="00301624" w:rsidP="00C1352C">
      <w:pPr>
        <w:rPr>
          <w:rFonts w:ascii="Times New Roman" w:hAnsi="Times New Roman" w:cs="Times New Roman"/>
          <w:b/>
          <w:sz w:val="28"/>
          <w:szCs w:val="28"/>
        </w:rPr>
      </w:pPr>
    </w:p>
    <w:p w:rsidR="003F3820" w:rsidRDefault="003F3820" w:rsidP="00C1352C">
      <w:pPr>
        <w:rPr>
          <w:rFonts w:ascii="Times New Roman" w:hAnsi="Times New Roman" w:cs="Times New Roman"/>
          <w:b/>
          <w:sz w:val="28"/>
          <w:szCs w:val="28"/>
        </w:rPr>
      </w:pPr>
    </w:p>
    <w:p w:rsidR="00C1352C" w:rsidRPr="00BF43FB" w:rsidRDefault="00596BE2" w:rsidP="00C1352C">
      <w:pPr>
        <w:pStyle w:val="ListParagraph"/>
        <w:numPr>
          <w:ilvl w:val="0"/>
          <w:numId w:val="2"/>
        </w:numPr>
        <w:spacing w:line="276" w:lineRule="auto"/>
        <w:ind w:left="720" w:hanging="450"/>
        <w:jc w:val="both"/>
        <w:rPr>
          <w:rFonts w:ascii="Times New Roman" w:hAnsi="Times New Roman" w:cs="Times New Roman"/>
          <w:b/>
          <w:sz w:val="28"/>
          <w:szCs w:val="28"/>
        </w:rPr>
      </w:pPr>
      <w:r w:rsidRPr="00596BE2">
        <w:rPr>
          <w:rFonts w:ascii="Times New Roman" w:eastAsia="Times New Roman" w:hAnsi="Times New Roman" w:cs="Times New Roman"/>
          <w:b/>
          <w:color w:val="000000" w:themeColor="text1"/>
          <w:sz w:val="24"/>
          <w:szCs w:val="24"/>
          <w:lang w:val="sq-AL"/>
        </w:rPr>
        <w:t>KËRKIMI DHE EKSPERIENCA KLINIKE /DIAGNOSTIKUESE</w:t>
      </w:r>
    </w:p>
    <w:tbl>
      <w:tblPr>
        <w:tblStyle w:val="TableGrid"/>
        <w:tblW w:w="9753" w:type="dxa"/>
        <w:tblInd w:w="-185" w:type="dxa"/>
        <w:tblLook w:val="04A0" w:firstRow="1" w:lastRow="0" w:firstColumn="1" w:lastColumn="0" w:noHBand="0" w:noVBand="1"/>
      </w:tblPr>
      <w:tblGrid>
        <w:gridCol w:w="3240"/>
        <w:gridCol w:w="1350"/>
        <w:gridCol w:w="1800"/>
        <w:gridCol w:w="1620"/>
        <w:gridCol w:w="1743"/>
      </w:tblGrid>
      <w:tr w:rsidR="00C1352C" w:rsidRPr="00A962CD" w:rsidTr="00504DE4">
        <w:tc>
          <w:tcPr>
            <w:tcW w:w="9753" w:type="dxa"/>
            <w:gridSpan w:val="5"/>
            <w:shd w:val="clear" w:color="auto" w:fill="F7CAAC" w:themeFill="accent2" w:themeFillTint="66"/>
          </w:tcPr>
          <w:p w:rsidR="00C1352C" w:rsidRPr="00A962CD" w:rsidRDefault="00C1352C" w:rsidP="00243BA4">
            <w:pPr>
              <w:spacing w:line="276" w:lineRule="auto"/>
              <w:jc w:val="both"/>
              <w:rPr>
                <w:rFonts w:ascii="Times New Roman" w:eastAsia="Times New Roman" w:hAnsi="Times New Roman" w:cs="Times New Roman"/>
                <w:b/>
                <w:color w:val="000000" w:themeColor="text1"/>
                <w:lang w:val="sq-AL"/>
              </w:rPr>
            </w:pPr>
            <w:r w:rsidRPr="00A962CD">
              <w:rPr>
                <w:rFonts w:ascii="Times New Roman" w:eastAsia="Times New Roman" w:hAnsi="Times New Roman" w:cs="Times New Roman"/>
                <w:b/>
                <w:color w:val="000000" w:themeColor="text1"/>
                <w:lang w:val="sq-AL"/>
              </w:rPr>
              <w:t>Standardi IV.1</w:t>
            </w:r>
            <w:r w:rsidRPr="00A962CD">
              <w:rPr>
                <w:rFonts w:ascii="Times New Roman" w:eastAsia="Times New Roman" w:hAnsi="Times New Roman" w:cs="Times New Roman"/>
                <w:b/>
                <w:color w:val="000000" w:themeColor="text1"/>
                <w:lang w:val="sq-AL"/>
              </w:rPr>
              <w:tab/>
            </w:r>
          </w:p>
          <w:p w:rsidR="00C1352C" w:rsidRPr="00A962CD" w:rsidRDefault="00596BE2" w:rsidP="00243BA4">
            <w:pPr>
              <w:spacing w:line="276" w:lineRule="auto"/>
              <w:jc w:val="both"/>
              <w:rPr>
                <w:rFonts w:ascii="Times New Roman" w:hAnsi="Times New Roman" w:cs="Times New Roman"/>
                <w:b/>
              </w:rPr>
            </w:pPr>
            <w:r w:rsidRPr="00596BE2">
              <w:rPr>
                <w:rFonts w:ascii="Times New Roman" w:eastAsia="Times New Roman" w:hAnsi="Times New Roman" w:cs="Times New Roman"/>
                <w:b/>
                <w:bCs/>
                <w:lang w:val="sq-AL"/>
              </w:rPr>
              <w:t>Specializanti ka një tutor që e ndjek atë gjatë gjithë periudhës së specializimit.</w:t>
            </w:r>
          </w:p>
        </w:tc>
      </w:tr>
      <w:tr w:rsidR="00C1352C" w:rsidRPr="00A962CD" w:rsidTr="003A469E">
        <w:trPr>
          <w:trHeight w:val="395"/>
        </w:trPr>
        <w:tc>
          <w:tcPr>
            <w:tcW w:w="3240" w:type="dxa"/>
            <w:shd w:val="clear" w:color="auto" w:fill="C5E0B3" w:themeFill="accent6" w:themeFillTint="66"/>
          </w:tcPr>
          <w:p w:rsidR="00C1352C" w:rsidRPr="00A962CD" w:rsidRDefault="00C1352C" w:rsidP="00243BA4">
            <w:pPr>
              <w:spacing w:line="276" w:lineRule="auto"/>
              <w:jc w:val="both"/>
              <w:rPr>
                <w:rFonts w:ascii="Times New Roman" w:eastAsia="Times New Roman" w:hAnsi="Times New Roman" w:cs="Times New Roman"/>
                <w:b/>
                <w:bCs/>
                <w:lang w:val="sq-AL"/>
              </w:rPr>
            </w:pPr>
            <w:r w:rsidRPr="00A962CD">
              <w:rPr>
                <w:rFonts w:ascii="Times New Roman" w:eastAsia="Times New Roman" w:hAnsi="Times New Roman" w:cs="Times New Roman"/>
                <w:b/>
                <w:bCs/>
                <w:lang w:val="sq-AL"/>
              </w:rPr>
              <w:t>Kriteret</w:t>
            </w:r>
          </w:p>
        </w:tc>
        <w:tc>
          <w:tcPr>
            <w:tcW w:w="6513" w:type="dxa"/>
            <w:gridSpan w:val="4"/>
            <w:shd w:val="clear" w:color="auto" w:fill="C5E0B3" w:themeFill="accent6" w:themeFillTint="66"/>
          </w:tcPr>
          <w:p w:rsidR="00C1352C" w:rsidRPr="00A962CD" w:rsidRDefault="00C1352C" w:rsidP="0019184F">
            <w:pPr>
              <w:spacing w:line="276" w:lineRule="auto"/>
              <w:jc w:val="center"/>
              <w:rPr>
                <w:rFonts w:ascii="Times New Roman" w:eastAsia="Times New Roman" w:hAnsi="Times New Roman" w:cs="Times New Roman"/>
                <w:b/>
                <w:bCs/>
                <w:lang w:val="sq-AL"/>
              </w:rPr>
            </w:pPr>
            <w:r w:rsidRPr="00A962CD">
              <w:rPr>
                <w:rFonts w:ascii="Times New Roman" w:eastAsia="Times New Roman" w:hAnsi="Times New Roman" w:cs="Times New Roman"/>
                <w:b/>
                <w:bCs/>
                <w:lang w:val="sq-AL"/>
              </w:rPr>
              <w:t>Vlerësimi i ekspertëve</w:t>
            </w:r>
          </w:p>
        </w:tc>
      </w:tr>
      <w:tr w:rsidR="00DB266E" w:rsidRPr="00A962CD" w:rsidTr="00504DE4">
        <w:tc>
          <w:tcPr>
            <w:tcW w:w="3240" w:type="dxa"/>
          </w:tcPr>
          <w:p w:rsidR="00DB266E" w:rsidRPr="00037AE6" w:rsidRDefault="00063277" w:rsidP="0019184F">
            <w:pPr>
              <w:spacing w:line="276" w:lineRule="auto"/>
              <w:rPr>
                <w:rFonts w:ascii="Times New Roman" w:hAnsi="Times New Roman" w:cs="Times New Roman"/>
                <w:sz w:val="20"/>
                <w:szCs w:val="20"/>
              </w:rPr>
            </w:pPr>
            <w:r w:rsidRPr="00037AE6">
              <w:rPr>
                <w:rFonts w:ascii="Times New Roman" w:hAnsi="Times New Roman" w:cs="Times New Roman"/>
                <w:b/>
                <w:sz w:val="20"/>
                <w:szCs w:val="20"/>
              </w:rPr>
              <w:t>Kriteri 1:</w:t>
            </w:r>
            <w:r w:rsidRPr="00037AE6">
              <w:rPr>
                <w:rFonts w:ascii="Times New Roman" w:hAnsi="Times New Roman" w:cs="Times New Roman"/>
                <w:sz w:val="20"/>
                <w:szCs w:val="20"/>
              </w:rPr>
              <w:t xml:space="preserve"> Studenti ka një udhëheqës klinik (tutor) të diplomuar dhe specializuar në fushën e programit të studimit të aplikantit i cili ka një eksperiencë të paktën 10 (dhjetë) vjeçare në fushën klinike diagno</w:t>
            </w:r>
            <w:r w:rsidR="0019184F">
              <w:rPr>
                <w:rFonts w:ascii="Times New Roman" w:hAnsi="Times New Roman" w:cs="Times New Roman"/>
                <w:sz w:val="20"/>
                <w:szCs w:val="20"/>
              </w:rPr>
              <w:t>stike me gradën “Doktor”.</w:t>
            </w:r>
          </w:p>
        </w:tc>
        <w:tc>
          <w:tcPr>
            <w:tcW w:w="6513" w:type="dxa"/>
            <w:gridSpan w:val="4"/>
          </w:tcPr>
          <w:p w:rsidR="00DB266E" w:rsidRPr="00A962CD" w:rsidRDefault="00DB266E" w:rsidP="00243BA4">
            <w:pPr>
              <w:spacing w:line="276" w:lineRule="auto"/>
              <w:jc w:val="both"/>
              <w:rPr>
                <w:rFonts w:ascii="Times New Roman" w:hAnsi="Times New Roman" w:cs="Times New Roman"/>
                <w:b/>
              </w:rPr>
            </w:pPr>
          </w:p>
        </w:tc>
      </w:tr>
      <w:tr w:rsidR="00DB266E" w:rsidRPr="00A962CD" w:rsidTr="00504DE4">
        <w:tc>
          <w:tcPr>
            <w:tcW w:w="3240" w:type="dxa"/>
          </w:tcPr>
          <w:p w:rsidR="00DB266E" w:rsidRPr="00037AE6" w:rsidRDefault="00063277" w:rsidP="0019184F">
            <w:pPr>
              <w:spacing w:line="276" w:lineRule="auto"/>
              <w:rPr>
                <w:rFonts w:ascii="Times New Roman" w:hAnsi="Times New Roman" w:cs="Times New Roman"/>
                <w:sz w:val="20"/>
                <w:szCs w:val="20"/>
              </w:rPr>
            </w:pPr>
            <w:r w:rsidRPr="00037AE6">
              <w:rPr>
                <w:rFonts w:ascii="Times New Roman" w:hAnsi="Times New Roman" w:cs="Times New Roman"/>
                <w:b/>
                <w:sz w:val="20"/>
                <w:szCs w:val="20"/>
              </w:rPr>
              <w:t>Kriteri 2:</w:t>
            </w:r>
            <w:r w:rsidRPr="00037AE6">
              <w:rPr>
                <w:rFonts w:ascii="Times New Roman" w:hAnsi="Times New Roman" w:cs="Times New Roman"/>
                <w:sz w:val="20"/>
                <w:szCs w:val="20"/>
              </w:rPr>
              <w:t xml:space="preserve"> Njësia bazë përgjegjëse/shërbimi përgjegjës përzgjedh udhëheqësit klinikë, të aftë për të drejtuar punën klinike e kërkimore të specializantëve, </w:t>
            </w:r>
            <w:r w:rsidRPr="00037AE6">
              <w:rPr>
                <w:rFonts w:ascii="Times New Roman" w:hAnsi="Times New Roman" w:cs="Times New Roman"/>
                <w:sz w:val="20"/>
                <w:szCs w:val="20"/>
              </w:rPr>
              <w:lastRenderedPageBreak/>
              <w:t xml:space="preserve">mbështetur në vlerësimin e veprimtarive klinike e kërkimore botuese të </w:t>
            </w:r>
            <w:r w:rsidR="0019184F">
              <w:rPr>
                <w:rFonts w:ascii="Times New Roman" w:hAnsi="Times New Roman" w:cs="Times New Roman"/>
                <w:sz w:val="20"/>
                <w:szCs w:val="20"/>
              </w:rPr>
              <w:t>tyre, brenda e jashtë vendit.</w:t>
            </w:r>
          </w:p>
        </w:tc>
        <w:tc>
          <w:tcPr>
            <w:tcW w:w="6513" w:type="dxa"/>
            <w:gridSpan w:val="4"/>
          </w:tcPr>
          <w:p w:rsidR="00DB266E" w:rsidRPr="00A962CD" w:rsidRDefault="00DB266E" w:rsidP="00243BA4">
            <w:pPr>
              <w:spacing w:line="276" w:lineRule="auto"/>
              <w:jc w:val="both"/>
              <w:rPr>
                <w:rFonts w:ascii="Times New Roman" w:hAnsi="Times New Roman" w:cs="Times New Roman"/>
                <w:b/>
              </w:rPr>
            </w:pPr>
          </w:p>
        </w:tc>
      </w:tr>
      <w:tr w:rsidR="00DB266E" w:rsidRPr="00A962CD" w:rsidTr="00504DE4">
        <w:tc>
          <w:tcPr>
            <w:tcW w:w="3240" w:type="dxa"/>
          </w:tcPr>
          <w:p w:rsidR="00DB266E" w:rsidRPr="00037AE6" w:rsidRDefault="00063277" w:rsidP="0019184F">
            <w:pPr>
              <w:spacing w:line="276" w:lineRule="auto"/>
              <w:rPr>
                <w:rFonts w:ascii="Times New Roman" w:hAnsi="Times New Roman" w:cs="Times New Roman"/>
                <w:sz w:val="20"/>
                <w:szCs w:val="20"/>
              </w:rPr>
            </w:pPr>
            <w:r w:rsidRPr="00037AE6">
              <w:rPr>
                <w:rFonts w:ascii="Times New Roman" w:hAnsi="Times New Roman" w:cs="Times New Roman"/>
                <w:b/>
                <w:sz w:val="20"/>
                <w:szCs w:val="20"/>
              </w:rPr>
              <w:t>Kriteri 3:</w:t>
            </w:r>
            <w:r w:rsidRPr="00037AE6">
              <w:rPr>
                <w:rFonts w:ascii="Times New Roman" w:hAnsi="Times New Roman" w:cs="Times New Roman"/>
                <w:sz w:val="20"/>
                <w:szCs w:val="20"/>
              </w:rPr>
              <w:t xml:space="preserve"> Tutori është i punësuar me kohë të plotë pranë njërës nga strukturat e rrjetit formues dhe ka një kontratë bashkëpunimi me institucionin q</w:t>
            </w:r>
            <w:r w:rsidR="0019184F">
              <w:rPr>
                <w:rFonts w:ascii="Times New Roman" w:hAnsi="Times New Roman" w:cs="Times New Roman"/>
                <w:sz w:val="20"/>
                <w:szCs w:val="20"/>
              </w:rPr>
              <w:t>ë ofron programin specializues.</w:t>
            </w:r>
          </w:p>
        </w:tc>
        <w:tc>
          <w:tcPr>
            <w:tcW w:w="6513" w:type="dxa"/>
            <w:gridSpan w:val="4"/>
          </w:tcPr>
          <w:p w:rsidR="00DB266E" w:rsidRPr="00A962CD" w:rsidRDefault="00DB266E" w:rsidP="00243BA4">
            <w:pPr>
              <w:spacing w:line="276" w:lineRule="auto"/>
              <w:jc w:val="both"/>
              <w:rPr>
                <w:rFonts w:ascii="Times New Roman" w:hAnsi="Times New Roman" w:cs="Times New Roman"/>
                <w:b/>
              </w:rPr>
            </w:pPr>
          </w:p>
        </w:tc>
      </w:tr>
      <w:tr w:rsidR="00DB266E" w:rsidRPr="00A962CD" w:rsidTr="00504DE4">
        <w:tc>
          <w:tcPr>
            <w:tcW w:w="3240" w:type="dxa"/>
          </w:tcPr>
          <w:p w:rsidR="00DB266E" w:rsidRPr="00037AE6" w:rsidRDefault="00063277" w:rsidP="0019184F">
            <w:pPr>
              <w:spacing w:line="276" w:lineRule="auto"/>
              <w:rPr>
                <w:rFonts w:ascii="Times New Roman" w:hAnsi="Times New Roman" w:cs="Times New Roman"/>
                <w:sz w:val="20"/>
                <w:szCs w:val="20"/>
              </w:rPr>
            </w:pPr>
            <w:r w:rsidRPr="00037AE6">
              <w:rPr>
                <w:rFonts w:ascii="Times New Roman" w:hAnsi="Times New Roman" w:cs="Times New Roman"/>
                <w:b/>
                <w:sz w:val="20"/>
                <w:szCs w:val="20"/>
              </w:rPr>
              <w:t>Kriteri 4:</w:t>
            </w:r>
            <w:r w:rsidRPr="00037AE6">
              <w:rPr>
                <w:rFonts w:ascii="Times New Roman" w:hAnsi="Times New Roman" w:cs="Times New Roman"/>
                <w:sz w:val="20"/>
                <w:szCs w:val="20"/>
              </w:rPr>
              <w:t xml:space="preserve"> Udhëheqësit klinikë punojnë për përditësimin e njohurive dhe aftësive të tyre, mbështetur në marrëveshjet institucionale, me qëllim mundësimin e shkëmbimeve të praktikave më të mira dhe dhënien e këshillave në mbës</w:t>
            </w:r>
            <w:r w:rsidR="0019184F">
              <w:rPr>
                <w:rFonts w:ascii="Times New Roman" w:hAnsi="Times New Roman" w:cs="Times New Roman"/>
                <w:sz w:val="20"/>
                <w:szCs w:val="20"/>
              </w:rPr>
              <w:t>htetjen efektive të studentëve.</w:t>
            </w:r>
          </w:p>
        </w:tc>
        <w:tc>
          <w:tcPr>
            <w:tcW w:w="6513" w:type="dxa"/>
            <w:gridSpan w:val="4"/>
          </w:tcPr>
          <w:p w:rsidR="00DB266E" w:rsidRPr="00A962CD" w:rsidRDefault="00DB266E" w:rsidP="00243BA4">
            <w:pPr>
              <w:spacing w:line="276" w:lineRule="auto"/>
              <w:jc w:val="both"/>
              <w:rPr>
                <w:rFonts w:ascii="Times New Roman" w:hAnsi="Times New Roman" w:cs="Times New Roman"/>
                <w:b/>
              </w:rPr>
            </w:pPr>
          </w:p>
        </w:tc>
      </w:tr>
      <w:tr w:rsidR="00485647" w:rsidRPr="00A962CD" w:rsidTr="00504DE4">
        <w:tc>
          <w:tcPr>
            <w:tcW w:w="3240" w:type="dxa"/>
          </w:tcPr>
          <w:p w:rsidR="00485647" w:rsidRPr="00037AE6" w:rsidRDefault="00063277" w:rsidP="00037AE6">
            <w:pPr>
              <w:spacing w:line="276" w:lineRule="auto"/>
              <w:rPr>
                <w:rFonts w:ascii="Times New Roman" w:hAnsi="Times New Roman" w:cs="Times New Roman"/>
                <w:sz w:val="20"/>
                <w:szCs w:val="20"/>
              </w:rPr>
            </w:pPr>
            <w:r w:rsidRPr="00037AE6">
              <w:rPr>
                <w:rFonts w:ascii="Times New Roman" w:hAnsi="Times New Roman" w:cs="Times New Roman"/>
                <w:b/>
                <w:sz w:val="20"/>
                <w:szCs w:val="20"/>
              </w:rPr>
              <w:t>Kriteri 5:</w:t>
            </w:r>
            <w:r w:rsidRPr="00037AE6">
              <w:rPr>
                <w:rFonts w:ascii="Times New Roman" w:hAnsi="Times New Roman" w:cs="Times New Roman"/>
                <w:sz w:val="20"/>
                <w:szCs w:val="20"/>
              </w:rPr>
              <w:t xml:space="preserve"> Udhëheqësi klinik ka ekspertizën, formimin dhe udhëzimet e duhura për rolin e tij në udhëheqjen e specializantit në realizimin e studimeve specializuese dhe në veça</w:t>
            </w:r>
            <w:r w:rsidR="0019184F">
              <w:rPr>
                <w:rFonts w:ascii="Times New Roman" w:hAnsi="Times New Roman" w:cs="Times New Roman"/>
                <w:sz w:val="20"/>
                <w:szCs w:val="20"/>
              </w:rPr>
              <w:t>nti të pjesës praktike/klinike.</w:t>
            </w:r>
          </w:p>
        </w:tc>
        <w:tc>
          <w:tcPr>
            <w:tcW w:w="6513" w:type="dxa"/>
            <w:gridSpan w:val="4"/>
          </w:tcPr>
          <w:p w:rsidR="00485647" w:rsidRPr="00A962CD" w:rsidRDefault="00485647" w:rsidP="00243BA4">
            <w:pPr>
              <w:spacing w:line="276" w:lineRule="auto"/>
              <w:jc w:val="both"/>
              <w:rPr>
                <w:rFonts w:ascii="Times New Roman" w:hAnsi="Times New Roman" w:cs="Times New Roman"/>
                <w:b/>
              </w:rPr>
            </w:pPr>
          </w:p>
        </w:tc>
      </w:tr>
      <w:tr w:rsidR="00485647" w:rsidRPr="00A962CD" w:rsidTr="00504DE4">
        <w:tc>
          <w:tcPr>
            <w:tcW w:w="3240" w:type="dxa"/>
          </w:tcPr>
          <w:p w:rsidR="00485647" w:rsidRPr="00037AE6" w:rsidRDefault="00063277" w:rsidP="00037AE6">
            <w:pPr>
              <w:spacing w:line="276" w:lineRule="auto"/>
              <w:rPr>
                <w:rFonts w:ascii="Times New Roman" w:hAnsi="Times New Roman" w:cs="Times New Roman"/>
                <w:sz w:val="20"/>
                <w:szCs w:val="20"/>
              </w:rPr>
            </w:pPr>
            <w:r w:rsidRPr="00037AE6">
              <w:rPr>
                <w:rFonts w:ascii="Times New Roman" w:hAnsi="Times New Roman" w:cs="Times New Roman"/>
                <w:b/>
                <w:sz w:val="20"/>
                <w:szCs w:val="20"/>
              </w:rPr>
              <w:t>Kriteri 6:</w:t>
            </w:r>
            <w:r w:rsidRPr="00037AE6">
              <w:rPr>
                <w:rFonts w:ascii="Times New Roman" w:hAnsi="Times New Roman" w:cs="Times New Roman"/>
                <w:sz w:val="20"/>
                <w:szCs w:val="20"/>
              </w:rPr>
              <w:t xml:space="preserve"> Udhëheqësi klinik nuk mund të mbikëqyrë më shumë se 3 (tre) studentë n</w:t>
            </w:r>
            <w:r w:rsidR="0019184F">
              <w:rPr>
                <w:rFonts w:ascii="Times New Roman" w:hAnsi="Times New Roman" w:cs="Times New Roman"/>
                <w:sz w:val="20"/>
                <w:szCs w:val="20"/>
              </w:rPr>
              <w:t>jëkohësisht.</w:t>
            </w:r>
          </w:p>
        </w:tc>
        <w:tc>
          <w:tcPr>
            <w:tcW w:w="6513" w:type="dxa"/>
            <w:gridSpan w:val="4"/>
          </w:tcPr>
          <w:p w:rsidR="00485647" w:rsidRPr="00A962CD" w:rsidRDefault="00485647" w:rsidP="00243BA4">
            <w:pPr>
              <w:spacing w:line="276" w:lineRule="auto"/>
              <w:jc w:val="both"/>
              <w:rPr>
                <w:rFonts w:ascii="Times New Roman" w:hAnsi="Times New Roman" w:cs="Times New Roman"/>
                <w:b/>
              </w:rPr>
            </w:pPr>
          </w:p>
        </w:tc>
      </w:tr>
      <w:tr w:rsidR="00485647" w:rsidRPr="00A962CD" w:rsidTr="00504DE4">
        <w:tc>
          <w:tcPr>
            <w:tcW w:w="3240" w:type="dxa"/>
          </w:tcPr>
          <w:p w:rsidR="00485647" w:rsidRPr="00037AE6" w:rsidRDefault="00063277" w:rsidP="00037AE6">
            <w:pPr>
              <w:spacing w:line="276" w:lineRule="auto"/>
              <w:rPr>
                <w:rFonts w:ascii="Times New Roman" w:hAnsi="Times New Roman" w:cs="Times New Roman"/>
                <w:sz w:val="20"/>
                <w:szCs w:val="20"/>
              </w:rPr>
            </w:pPr>
            <w:r w:rsidRPr="00037AE6">
              <w:rPr>
                <w:rFonts w:ascii="Times New Roman" w:hAnsi="Times New Roman" w:cs="Times New Roman"/>
                <w:b/>
                <w:sz w:val="20"/>
                <w:szCs w:val="20"/>
              </w:rPr>
              <w:t>Kriteri 7:</w:t>
            </w:r>
            <w:r w:rsidRPr="00037AE6">
              <w:rPr>
                <w:rFonts w:ascii="Times New Roman" w:hAnsi="Times New Roman" w:cs="Times New Roman"/>
                <w:sz w:val="20"/>
                <w:szCs w:val="20"/>
              </w:rPr>
              <w:t xml:space="preserve"> Fusha e specializimit të udhëheqësit përputhet me atë të programit speci</w:t>
            </w:r>
            <w:r w:rsidR="0019184F">
              <w:rPr>
                <w:rFonts w:ascii="Times New Roman" w:hAnsi="Times New Roman" w:cs="Times New Roman"/>
                <w:sz w:val="20"/>
                <w:szCs w:val="20"/>
              </w:rPr>
              <w:t>alizues që ndjek specializanti.</w:t>
            </w:r>
          </w:p>
        </w:tc>
        <w:tc>
          <w:tcPr>
            <w:tcW w:w="6513" w:type="dxa"/>
            <w:gridSpan w:val="4"/>
          </w:tcPr>
          <w:p w:rsidR="00485647" w:rsidRPr="00A962CD" w:rsidRDefault="00485647" w:rsidP="00243BA4">
            <w:pPr>
              <w:spacing w:line="276" w:lineRule="auto"/>
              <w:jc w:val="both"/>
              <w:rPr>
                <w:rFonts w:ascii="Times New Roman" w:hAnsi="Times New Roman" w:cs="Times New Roman"/>
                <w:b/>
              </w:rPr>
            </w:pPr>
          </w:p>
        </w:tc>
      </w:tr>
      <w:tr w:rsidR="00485647" w:rsidRPr="00A962CD" w:rsidTr="00504DE4">
        <w:tc>
          <w:tcPr>
            <w:tcW w:w="3240" w:type="dxa"/>
          </w:tcPr>
          <w:p w:rsidR="00485647" w:rsidRPr="00037AE6" w:rsidRDefault="00037AE6" w:rsidP="00037AE6">
            <w:pPr>
              <w:spacing w:line="276" w:lineRule="auto"/>
              <w:rPr>
                <w:rFonts w:ascii="Times New Roman" w:hAnsi="Times New Roman" w:cs="Times New Roman"/>
                <w:sz w:val="20"/>
                <w:szCs w:val="20"/>
              </w:rPr>
            </w:pPr>
            <w:r w:rsidRPr="00037AE6">
              <w:rPr>
                <w:rFonts w:ascii="Times New Roman" w:hAnsi="Times New Roman" w:cs="Times New Roman"/>
                <w:b/>
                <w:sz w:val="20"/>
                <w:szCs w:val="20"/>
              </w:rPr>
              <w:t>Kriteri 8:</w:t>
            </w:r>
            <w:r w:rsidRPr="00037AE6">
              <w:rPr>
                <w:rFonts w:ascii="Times New Roman" w:hAnsi="Times New Roman" w:cs="Times New Roman"/>
                <w:sz w:val="20"/>
                <w:szCs w:val="20"/>
              </w:rPr>
              <w:t xml:space="preserve"> Në të gjitha rastet, studenti ka vetëm një pikë të identifikuar kontakti, i cili duhet të jetë udhëheqësi klinik kryesor i tij. Nëse udhëheqësi kryesor nuk është në dispozicion, studentit i bëhet e ditur se cili do të jet</w:t>
            </w:r>
            <w:r w:rsidR="0019184F">
              <w:rPr>
                <w:rFonts w:ascii="Times New Roman" w:hAnsi="Times New Roman" w:cs="Times New Roman"/>
                <w:sz w:val="20"/>
                <w:szCs w:val="20"/>
              </w:rPr>
              <w:t>ë personi që do ta zëvendësojë.</w:t>
            </w:r>
          </w:p>
        </w:tc>
        <w:tc>
          <w:tcPr>
            <w:tcW w:w="6513" w:type="dxa"/>
            <w:gridSpan w:val="4"/>
          </w:tcPr>
          <w:p w:rsidR="00485647" w:rsidRPr="00A962CD" w:rsidRDefault="00485647" w:rsidP="00243BA4">
            <w:pPr>
              <w:spacing w:line="276" w:lineRule="auto"/>
              <w:jc w:val="both"/>
              <w:rPr>
                <w:rFonts w:ascii="Times New Roman" w:hAnsi="Times New Roman" w:cs="Times New Roman"/>
                <w:b/>
              </w:rPr>
            </w:pPr>
          </w:p>
        </w:tc>
      </w:tr>
      <w:tr w:rsidR="00037AE6" w:rsidRPr="00A962CD" w:rsidTr="00504DE4">
        <w:tc>
          <w:tcPr>
            <w:tcW w:w="3240" w:type="dxa"/>
          </w:tcPr>
          <w:p w:rsidR="00037AE6" w:rsidRPr="00037AE6" w:rsidRDefault="00037AE6" w:rsidP="00037AE6">
            <w:pPr>
              <w:spacing w:line="276" w:lineRule="auto"/>
              <w:rPr>
                <w:rFonts w:ascii="Times New Roman" w:hAnsi="Times New Roman" w:cs="Times New Roman"/>
                <w:sz w:val="20"/>
                <w:szCs w:val="20"/>
              </w:rPr>
            </w:pPr>
            <w:r w:rsidRPr="00037AE6">
              <w:rPr>
                <w:rFonts w:ascii="Times New Roman" w:hAnsi="Times New Roman" w:cs="Times New Roman"/>
                <w:b/>
                <w:sz w:val="20"/>
                <w:szCs w:val="20"/>
              </w:rPr>
              <w:t>Kriteri 9:</w:t>
            </w:r>
            <w:r w:rsidRPr="00037AE6">
              <w:rPr>
                <w:rFonts w:ascii="Times New Roman" w:hAnsi="Times New Roman" w:cs="Times New Roman"/>
                <w:sz w:val="20"/>
                <w:szCs w:val="20"/>
              </w:rPr>
              <w:t xml:space="preserve"> Institucioni siguron që udhëheqësi të ketë kohën e mjaftueshme pë</w:t>
            </w:r>
            <w:r w:rsidR="0019184F">
              <w:rPr>
                <w:rFonts w:ascii="Times New Roman" w:hAnsi="Times New Roman" w:cs="Times New Roman"/>
                <w:sz w:val="20"/>
                <w:szCs w:val="20"/>
              </w:rPr>
              <w:t>r ta mbikëqyrur specializantin.</w:t>
            </w:r>
          </w:p>
        </w:tc>
        <w:tc>
          <w:tcPr>
            <w:tcW w:w="6513" w:type="dxa"/>
            <w:gridSpan w:val="4"/>
          </w:tcPr>
          <w:p w:rsidR="00037AE6" w:rsidRPr="00A962CD" w:rsidRDefault="00037AE6" w:rsidP="00243BA4">
            <w:pPr>
              <w:spacing w:line="276" w:lineRule="auto"/>
              <w:jc w:val="both"/>
              <w:rPr>
                <w:rFonts w:ascii="Times New Roman" w:hAnsi="Times New Roman" w:cs="Times New Roman"/>
                <w:b/>
              </w:rPr>
            </w:pPr>
          </w:p>
        </w:tc>
      </w:tr>
      <w:tr w:rsidR="00C1352C" w:rsidRPr="00A962CD" w:rsidTr="00BD411B">
        <w:trPr>
          <w:trHeight w:val="315"/>
        </w:trPr>
        <w:tc>
          <w:tcPr>
            <w:tcW w:w="3240" w:type="dxa"/>
            <w:vMerge w:val="restart"/>
            <w:shd w:val="clear" w:color="auto" w:fill="F7CAAC" w:themeFill="accent2" w:themeFillTint="66"/>
          </w:tcPr>
          <w:p w:rsidR="00C1352C" w:rsidRPr="00A962CD" w:rsidRDefault="00C1352C" w:rsidP="00243BA4">
            <w:pPr>
              <w:spacing w:line="276" w:lineRule="auto"/>
              <w:rPr>
                <w:rFonts w:ascii="Times New Roman" w:hAnsi="Times New Roman" w:cs="Times New Roman"/>
                <w:b/>
              </w:rPr>
            </w:pPr>
            <w:r w:rsidRPr="00A962CD">
              <w:rPr>
                <w:rFonts w:ascii="Times New Roman" w:hAnsi="Times New Roman" w:cs="Times New Roman"/>
                <w:b/>
              </w:rPr>
              <w:t>Shkalla e përmbushjes së standardit</w:t>
            </w:r>
          </w:p>
        </w:tc>
        <w:tc>
          <w:tcPr>
            <w:tcW w:w="1350" w:type="dxa"/>
            <w:shd w:val="clear" w:color="auto" w:fill="FF000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Nuk përmbushet</w:t>
            </w:r>
          </w:p>
        </w:tc>
        <w:tc>
          <w:tcPr>
            <w:tcW w:w="1800" w:type="dxa"/>
            <w:shd w:val="clear" w:color="auto" w:fill="FF660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Përmbushet pjesërisht</w:t>
            </w:r>
          </w:p>
        </w:tc>
        <w:tc>
          <w:tcPr>
            <w:tcW w:w="1620" w:type="dxa"/>
            <w:shd w:val="clear" w:color="auto" w:fill="CCCC0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Përmbushet kryesisht</w:t>
            </w:r>
          </w:p>
        </w:tc>
        <w:tc>
          <w:tcPr>
            <w:tcW w:w="1743" w:type="dxa"/>
            <w:shd w:val="clear" w:color="auto" w:fill="92D05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Përmbushet plotësisht</w:t>
            </w:r>
          </w:p>
        </w:tc>
      </w:tr>
      <w:tr w:rsidR="00C1352C" w:rsidRPr="00A962CD" w:rsidTr="00BD411B">
        <w:trPr>
          <w:trHeight w:val="315"/>
        </w:trPr>
        <w:tc>
          <w:tcPr>
            <w:tcW w:w="3240" w:type="dxa"/>
            <w:vMerge/>
            <w:shd w:val="clear" w:color="auto" w:fill="F7CAAC" w:themeFill="accent2" w:themeFillTint="66"/>
          </w:tcPr>
          <w:p w:rsidR="00C1352C" w:rsidRPr="00A962CD" w:rsidRDefault="00C1352C" w:rsidP="00243BA4">
            <w:pPr>
              <w:spacing w:line="276" w:lineRule="auto"/>
              <w:rPr>
                <w:rFonts w:ascii="Times New Roman" w:hAnsi="Times New Roman" w:cs="Times New Roman"/>
                <w:b/>
              </w:rPr>
            </w:pPr>
          </w:p>
        </w:tc>
        <w:tc>
          <w:tcPr>
            <w:tcW w:w="1350" w:type="dxa"/>
          </w:tcPr>
          <w:p w:rsidR="00C1352C" w:rsidRPr="00A962CD" w:rsidRDefault="00C1352C" w:rsidP="00243BA4">
            <w:pPr>
              <w:spacing w:line="276" w:lineRule="auto"/>
              <w:jc w:val="both"/>
              <w:rPr>
                <w:rFonts w:ascii="Times New Roman" w:hAnsi="Times New Roman" w:cs="Times New Roman"/>
                <w:b/>
              </w:rPr>
            </w:pPr>
          </w:p>
        </w:tc>
        <w:tc>
          <w:tcPr>
            <w:tcW w:w="1800" w:type="dxa"/>
          </w:tcPr>
          <w:p w:rsidR="00C1352C" w:rsidRPr="00A962CD" w:rsidRDefault="00C1352C" w:rsidP="00243BA4">
            <w:pPr>
              <w:spacing w:line="276" w:lineRule="auto"/>
              <w:jc w:val="both"/>
              <w:rPr>
                <w:rFonts w:ascii="Times New Roman" w:hAnsi="Times New Roman" w:cs="Times New Roman"/>
                <w:b/>
              </w:rPr>
            </w:pPr>
          </w:p>
        </w:tc>
        <w:tc>
          <w:tcPr>
            <w:tcW w:w="1620" w:type="dxa"/>
          </w:tcPr>
          <w:p w:rsidR="00C1352C" w:rsidRPr="00A962CD" w:rsidRDefault="00C1352C" w:rsidP="00243BA4">
            <w:pPr>
              <w:spacing w:line="276" w:lineRule="auto"/>
              <w:jc w:val="both"/>
              <w:rPr>
                <w:rFonts w:ascii="Times New Roman" w:hAnsi="Times New Roman" w:cs="Times New Roman"/>
                <w:b/>
              </w:rPr>
            </w:pPr>
          </w:p>
        </w:tc>
        <w:tc>
          <w:tcPr>
            <w:tcW w:w="1743" w:type="dxa"/>
          </w:tcPr>
          <w:p w:rsidR="00C1352C" w:rsidRPr="00A962CD" w:rsidRDefault="00C1352C" w:rsidP="00243BA4">
            <w:pPr>
              <w:spacing w:line="276" w:lineRule="auto"/>
              <w:jc w:val="both"/>
              <w:rPr>
                <w:rFonts w:ascii="Times New Roman" w:hAnsi="Times New Roman" w:cs="Times New Roman"/>
                <w:b/>
              </w:rPr>
            </w:pPr>
          </w:p>
        </w:tc>
      </w:tr>
    </w:tbl>
    <w:p w:rsidR="00FF19CD" w:rsidRPr="003F3820" w:rsidRDefault="00FF19CD" w:rsidP="003F3820">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90"/>
        <w:gridCol w:w="1490"/>
        <w:gridCol w:w="1710"/>
        <w:gridCol w:w="1620"/>
        <w:gridCol w:w="1710"/>
      </w:tblGrid>
      <w:tr w:rsidR="00C1352C" w:rsidRPr="00A962CD" w:rsidTr="00A962CD">
        <w:tc>
          <w:tcPr>
            <w:tcW w:w="9720" w:type="dxa"/>
            <w:gridSpan w:val="5"/>
            <w:shd w:val="clear" w:color="auto" w:fill="F7CAAC" w:themeFill="accent2" w:themeFillTint="66"/>
          </w:tcPr>
          <w:p w:rsidR="00C1352C" w:rsidRPr="00A962CD" w:rsidRDefault="00C1352C" w:rsidP="00243BA4">
            <w:pPr>
              <w:spacing w:line="276" w:lineRule="auto"/>
              <w:jc w:val="both"/>
              <w:rPr>
                <w:rFonts w:ascii="Times New Roman" w:hAnsi="Times New Roman" w:cs="Times New Roman"/>
                <w:b/>
                <w:lang w:val="sq-AL"/>
              </w:rPr>
            </w:pPr>
            <w:r w:rsidRPr="00A962CD">
              <w:rPr>
                <w:rFonts w:ascii="Times New Roman" w:hAnsi="Times New Roman" w:cs="Times New Roman"/>
                <w:b/>
                <w:lang w:val="sq-AL"/>
              </w:rPr>
              <w:t xml:space="preserve">Standardi IV.2  </w:t>
            </w:r>
          </w:p>
          <w:p w:rsidR="00C1352C" w:rsidRPr="00A962CD" w:rsidRDefault="00037AE6" w:rsidP="00243BA4">
            <w:pPr>
              <w:spacing w:line="276" w:lineRule="auto"/>
              <w:jc w:val="both"/>
              <w:rPr>
                <w:rFonts w:ascii="Times New Roman" w:hAnsi="Times New Roman" w:cs="Times New Roman"/>
                <w:b/>
              </w:rPr>
            </w:pPr>
            <w:r w:rsidRPr="00037AE6">
              <w:rPr>
                <w:rFonts w:ascii="Times New Roman" w:eastAsia="Times New Roman" w:hAnsi="Times New Roman" w:cs="Times New Roman"/>
                <w:b/>
                <w:bCs/>
                <w:lang w:val="sq-AL"/>
              </w:rPr>
              <w:t>Objektiva të programit të studimit të specializimeve afatgjata në fushën e mjekësisë janë angazhimi i vazhdueshëm në punën klinike e kërkimore dhe nxitja e punës në ekip e studentëve.</w:t>
            </w:r>
          </w:p>
        </w:tc>
      </w:tr>
      <w:tr w:rsidR="00C1352C" w:rsidRPr="00A962CD" w:rsidTr="0019184F">
        <w:trPr>
          <w:trHeight w:val="359"/>
        </w:trPr>
        <w:tc>
          <w:tcPr>
            <w:tcW w:w="3190" w:type="dxa"/>
            <w:shd w:val="clear" w:color="auto" w:fill="C5E0B3" w:themeFill="accent6" w:themeFillTint="66"/>
          </w:tcPr>
          <w:p w:rsidR="00C1352C" w:rsidRPr="00A962CD" w:rsidRDefault="00C1352C" w:rsidP="00243BA4">
            <w:pPr>
              <w:spacing w:line="276" w:lineRule="auto"/>
              <w:jc w:val="both"/>
              <w:rPr>
                <w:rFonts w:ascii="Times New Roman" w:eastAsia="Times New Roman" w:hAnsi="Times New Roman" w:cs="Times New Roman"/>
                <w:b/>
                <w:bCs/>
                <w:lang w:val="sq-AL"/>
              </w:rPr>
            </w:pPr>
            <w:r w:rsidRPr="00A962CD">
              <w:rPr>
                <w:rFonts w:ascii="Times New Roman" w:eastAsia="Times New Roman" w:hAnsi="Times New Roman" w:cs="Times New Roman"/>
                <w:b/>
                <w:bCs/>
                <w:lang w:val="sq-AL"/>
              </w:rPr>
              <w:lastRenderedPageBreak/>
              <w:t>Kriteret</w:t>
            </w:r>
          </w:p>
        </w:tc>
        <w:tc>
          <w:tcPr>
            <w:tcW w:w="6530" w:type="dxa"/>
            <w:gridSpan w:val="4"/>
            <w:shd w:val="clear" w:color="auto" w:fill="C5E0B3" w:themeFill="accent6" w:themeFillTint="66"/>
          </w:tcPr>
          <w:p w:rsidR="00C1352C" w:rsidRPr="00A962CD" w:rsidRDefault="00C1352C" w:rsidP="0019184F">
            <w:pPr>
              <w:spacing w:line="276" w:lineRule="auto"/>
              <w:jc w:val="center"/>
              <w:rPr>
                <w:rFonts w:ascii="Times New Roman" w:eastAsia="Times New Roman" w:hAnsi="Times New Roman" w:cs="Times New Roman"/>
                <w:b/>
                <w:bCs/>
                <w:lang w:val="sq-AL"/>
              </w:rPr>
            </w:pPr>
            <w:r w:rsidRPr="00A962CD">
              <w:rPr>
                <w:rFonts w:ascii="Times New Roman" w:eastAsia="Times New Roman" w:hAnsi="Times New Roman" w:cs="Times New Roman"/>
                <w:b/>
                <w:bCs/>
                <w:lang w:val="sq-AL"/>
              </w:rPr>
              <w:t>Vlerësimi i ekspertëve</w:t>
            </w:r>
          </w:p>
        </w:tc>
      </w:tr>
      <w:tr w:rsidR="00DB266E" w:rsidRPr="00A962CD" w:rsidTr="00A962CD">
        <w:tc>
          <w:tcPr>
            <w:tcW w:w="3190" w:type="dxa"/>
          </w:tcPr>
          <w:p w:rsidR="00DB266E" w:rsidRPr="003C3A45" w:rsidRDefault="00037AE6" w:rsidP="0019184F">
            <w:pPr>
              <w:spacing w:line="276" w:lineRule="auto"/>
              <w:rPr>
                <w:rFonts w:ascii="Times New Roman" w:hAnsi="Times New Roman" w:cs="Times New Roman"/>
                <w:sz w:val="20"/>
                <w:szCs w:val="20"/>
              </w:rPr>
            </w:pPr>
            <w:r w:rsidRPr="003C3A45">
              <w:rPr>
                <w:rFonts w:ascii="Times New Roman" w:hAnsi="Times New Roman" w:cs="Times New Roman"/>
                <w:b/>
                <w:sz w:val="20"/>
                <w:szCs w:val="20"/>
              </w:rPr>
              <w:t>Kriteri 1:</w:t>
            </w:r>
            <w:r w:rsidRPr="003C3A45">
              <w:rPr>
                <w:rFonts w:ascii="Times New Roman" w:hAnsi="Times New Roman" w:cs="Times New Roman"/>
                <w:sz w:val="20"/>
                <w:szCs w:val="20"/>
              </w:rPr>
              <w:t xml:space="preserve"> Studenti angazhohet në punën klinike e kërkimore për aftësimin dhe përfundimin me s</w:t>
            </w:r>
            <w:r w:rsidR="0019184F">
              <w:rPr>
                <w:rFonts w:ascii="Times New Roman" w:hAnsi="Times New Roman" w:cs="Times New Roman"/>
                <w:sz w:val="20"/>
                <w:szCs w:val="20"/>
              </w:rPr>
              <w:t>ukses të programit të studimit.</w:t>
            </w:r>
          </w:p>
        </w:tc>
        <w:tc>
          <w:tcPr>
            <w:tcW w:w="6530" w:type="dxa"/>
            <w:gridSpan w:val="4"/>
          </w:tcPr>
          <w:p w:rsidR="00DB266E" w:rsidRPr="00A962CD" w:rsidRDefault="00DB266E" w:rsidP="00243BA4">
            <w:pPr>
              <w:spacing w:line="276" w:lineRule="auto"/>
              <w:jc w:val="both"/>
              <w:rPr>
                <w:rFonts w:ascii="Times New Roman" w:hAnsi="Times New Roman" w:cs="Times New Roman"/>
                <w:b/>
              </w:rPr>
            </w:pPr>
          </w:p>
        </w:tc>
      </w:tr>
      <w:tr w:rsidR="00DB266E" w:rsidRPr="00A962CD" w:rsidTr="00A962CD">
        <w:tc>
          <w:tcPr>
            <w:tcW w:w="3190" w:type="dxa"/>
          </w:tcPr>
          <w:p w:rsidR="003C3A45" w:rsidRPr="003C3A45" w:rsidRDefault="003C3A45" w:rsidP="003C3A45">
            <w:pPr>
              <w:spacing w:line="276" w:lineRule="auto"/>
              <w:rPr>
                <w:rFonts w:ascii="Times New Roman" w:hAnsi="Times New Roman" w:cs="Times New Roman"/>
                <w:sz w:val="20"/>
                <w:szCs w:val="20"/>
              </w:rPr>
            </w:pPr>
            <w:r w:rsidRPr="003C3A45">
              <w:rPr>
                <w:rFonts w:ascii="Times New Roman" w:hAnsi="Times New Roman" w:cs="Times New Roman"/>
                <w:b/>
                <w:sz w:val="20"/>
                <w:szCs w:val="20"/>
              </w:rPr>
              <w:t>Kriteri 2:</w:t>
            </w:r>
            <w:r w:rsidRPr="003C3A45">
              <w:rPr>
                <w:rFonts w:ascii="Times New Roman" w:hAnsi="Times New Roman" w:cs="Times New Roman"/>
                <w:sz w:val="20"/>
                <w:szCs w:val="20"/>
              </w:rPr>
              <w:t xml:space="preserve"> Studenti merr pjesë në aktivitete të ndryshme klinike të lidhura ngushtë me fushën specifike në të cilën ndjek studimet e specializimeve, të cilat e ndihmojnë të aftësohet për:</w:t>
            </w:r>
          </w:p>
          <w:p w:rsidR="003C3A45" w:rsidRPr="003C3A45" w:rsidRDefault="003C3A45" w:rsidP="003C3A45">
            <w:pPr>
              <w:spacing w:line="276" w:lineRule="auto"/>
              <w:rPr>
                <w:rFonts w:ascii="Times New Roman" w:hAnsi="Times New Roman" w:cs="Times New Roman"/>
                <w:sz w:val="20"/>
                <w:szCs w:val="20"/>
              </w:rPr>
            </w:pPr>
            <w:r w:rsidRPr="00BB79C3">
              <w:rPr>
                <w:rFonts w:ascii="Times New Roman" w:hAnsi="Times New Roman" w:cs="Times New Roman"/>
                <w:b/>
                <w:sz w:val="20"/>
                <w:szCs w:val="20"/>
              </w:rPr>
              <w:t>a.</w:t>
            </w:r>
            <w:r w:rsidRPr="003C3A45">
              <w:rPr>
                <w:rFonts w:ascii="Times New Roman" w:hAnsi="Times New Roman" w:cs="Times New Roman"/>
                <w:sz w:val="20"/>
                <w:szCs w:val="20"/>
              </w:rPr>
              <w:t xml:space="preserve"> Përvetësimin e metodologjive dhe njohurive klinike e kërkimore për veprimtari krijuese të pavarura si: artikuj shkencorë, prezantime, etj;</w:t>
            </w:r>
          </w:p>
          <w:p w:rsidR="003C3A45" w:rsidRPr="003C3A45" w:rsidRDefault="003C3A45" w:rsidP="00BB79C3">
            <w:pPr>
              <w:spacing w:line="276" w:lineRule="auto"/>
              <w:rPr>
                <w:rFonts w:ascii="Times New Roman" w:hAnsi="Times New Roman" w:cs="Times New Roman"/>
                <w:sz w:val="20"/>
                <w:szCs w:val="20"/>
              </w:rPr>
            </w:pPr>
            <w:r w:rsidRPr="00BB79C3">
              <w:rPr>
                <w:rFonts w:ascii="Times New Roman" w:hAnsi="Times New Roman" w:cs="Times New Roman"/>
                <w:b/>
                <w:sz w:val="20"/>
                <w:szCs w:val="20"/>
              </w:rPr>
              <w:t>b.</w:t>
            </w:r>
            <w:r w:rsidRPr="003C3A45">
              <w:rPr>
                <w:rFonts w:ascii="Times New Roman" w:hAnsi="Times New Roman" w:cs="Times New Roman"/>
                <w:sz w:val="20"/>
                <w:szCs w:val="20"/>
              </w:rPr>
              <w:t xml:space="preserve"> Punën e pavarur në laborator/klinikë;</w:t>
            </w:r>
          </w:p>
          <w:p w:rsidR="00BB79C3" w:rsidRDefault="003C3A45" w:rsidP="00BB79C3">
            <w:pPr>
              <w:spacing w:line="276" w:lineRule="auto"/>
              <w:rPr>
                <w:rFonts w:ascii="Times New Roman" w:hAnsi="Times New Roman" w:cs="Times New Roman"/>
                <w:sz w:val="20"/>
                <w:szCs w:val="20"/>
              </w:rPr>
            </w:pPr>
            <w:r w:rsidRPr="00BB79C3">
              <w:rPr>
                <w:rFonts w:ascii="Times New Roman" w:hAnsi="Times New Roman" w:cs="Times New Roman"/>
                <w:b/>
                <w:sz w:val="20"/>
                <w:szCs w:val="20"/>
              </w:rPr>
              <w:t>c.</w:t>
            </w:r>
            <w:r w:rsidRPr="003C3A45">
              <w:rPr>
                <w:rFonts w:ascii="Times New Roman" w:hAnsi="Times New Roman" w:cs="Times New Roman"/>
                <w:sz w:val="20"/>
                <w:szCs w:val="20"/>
              </w:rPr>
              <w:t xml:space="preserve"> Përdorimin e burimeve të informacionit (p.sh. bibliotekat dhe internetin, databazat me karakter shkencor/klinik) dhe</w:t>
            </w:r>
            <w:r w:rsidR="00BB79C3">
              <w:rPr>
                <w:rFonts w:ascii="Times New Roman" w:hAnsi="Times New Roman" w:cs="Times New Roman"/>
                <w:sz w:val="20"/>
                <w:szCs w:val="20"/>
              </w:rPr>
              <w:t xml:space="preserve"> administrimin e informacionit;</w:t>
            </w:r>
          </w:p>
          <w:p w:rsidR="003C3A45" w:rsidRPr="003C3A45" w:rsidRDefault="003C3A45" w:rsidP="00BB79C3">
            <w:pPr>
              <w:spacing w:line="276" w:lineRule="auto"/>
              <w:rPr>
                <w:rFonts w:ascii="Times New Roman" w:hAnsi="Times New Roman" w:cs="Times New Roman"/>
                <w:sz w:val="20"/>
                <w:szCs w:val="20"/>
              </w:rPr>
            </w:pPr>
            <w:r w:rsidRPr="00BB79C3">
              <w:rPr>
                <w:rFonts w:ascii="Times New Roman" w:hAnsi="Times New Roman" w:cs="Times New Roman"/>
                <w:b/>
                <w:sz w:val="20"/>
                <w:szCs w:val="20"/>
              </w:rPr>
              <w:t>d.</w:t>
            </w:r>
            <w:r w:rsidRPr="003C3A45">
              <w:rPr>
                <w:rFonts w:ascii="Times New Roman" w:hAnsi="Times New Roman" w:cs="Times New Roman"/>
                <w:sz w:val="20"/>
                <w:szCs w:val="20"/>
              </w:rPr>
              <w:t xml:space="preserve"> Përdorimin e teknologjive bashkëkohore për prezantime publike;</w:t>
            </w:r>
          </w:p>
          <w:p w:rsidR="00BB79C3" w:rsidRDefault="003C3A45" w:rsidP="00BB79C3">
            <w:pPr>
              <w:spacing w:line="276" w:lineRule="auto"/>
              <w:rPr>
                <w:rFonts w:ascii="Times New Roman" w:hAnsi="Times New Roman" w:cs="Times New Roman"/>
                <w:sz w:val="20"/>
                <w:szCs w:val="20"/>
              </w:rPr>
            </w:pPr>
            <w:r w:rsidRPr="00BB79C3">
              <w:rPr>
                <w:rFonts w:ascii="Times New Roman" w:hAnsi="Times New Roman" w:cs="Times New Roman"/>
                <w:b/>
                <w:sz w:val="20"/>
                <w:szCs w:val="20"/>
              </w:rPr>
              <w:t>e.</w:t>
            </w:r>
            <w:r w:rsidRPr="003C3A45">
              <w:rPr>
                <w:rFonts w:ascii="Times New Roman" w:hAnsi="Times New Roman" w:cs="Times New Roman"/>
                <w:sz w:val="20"/>
                <w:szCs w:val="20"/>
              </w:rPr>
              <w:t xml:space="preserve"> Përvetësimin e metodave të avancuara të analizë</w:t>
            </w:r>
            <w:r w:rsidR="00BB79C3">
              <w:rPr>
                <w:rFonts w:ascii="Times New Roman" w:hAnsi="Times New Roman" w:cs="Times New Roman"/>
                <w:sz w:val="20"/>
                <w:szCs w:val="20"/>
              </w:rPr>
              <w:t>s dhe përpunimit të të dhënave;</w:t>
            </w:r>
          </w:p>
          <w:p w:rsidR="00DB266E" w:rsidRPr="003C3A45" w:rsidRDefault="00BB79C3" w:rsidP="0019184F">
            <w:pPr>
              <w:spacing w:line="276" w:lineRule="auto"/>
              <w:rPr>
                <w:rFonts w:ascii="Times New Roman" w:hAnsi="Times New Roman" w:cs="Times New Roman"/>
                <w:sz w:val="20"/>
                <w:szCs w:val="20"/>
              </w:rPr>
            </w:pPr>
            <w:r w:rsidRPr="00BB79C3">
              <w:rPr>
                <w:rFonts w:ascii="Times New Roman" w:hAnsi="Times New Roman" w:cs="Times New Roman"/>
                <w:b/>
                <w:sz w:val="20"/>
                <w:szCs w:val="20"/>
              </w:rPr>
              <w:t>f.</w:t>
            </w:r>
            <w:r w:rsidRPr="003C3A45">
              <w:rPr>
                <w:rFonts w:ascii="Times New Roman" w:hAnsi="Times New Roman" w:cs="Times New Roman"/>
                <w:sz w:val="20"/>
                <w:szCs w:val="20"/>
              </w:rPr>
              <w:t xml:space="preserve"> Njohjen</w:t>
            </w:r>
            <w:r w:rsidR="003C3A45" w:rsidRPr="003C3A45">
              <w:rPr>
                <w:rFonts w:ascii="Times New Roman" w:hAnsi="Times New Roman" w:cs="Times New Roman"/>
                <w:sz w:val="20"/>
                <w:szCs w:val="20"/>
              </w:rPr>
              <w:t xml:space="preserve"> dhe përvetësimin e terminologjisë së specializuar lidhur me fu</w:t>
            </w:r>
            <w:r w:rsidR="0019184F">
              <w:rPr>
                <w:rFonts w:ascii="Times New Roman" w:hAnsi="Times New Roman" w:cs="Times New Roman"/>
                <w:sz w:val="20"/>
                <w:szCs w:val="20"/>
              </w:rPr>
              <w:t>shën klinike të specializantit.</w:t>
            </w:r>
          </w:p>
        </w:tc>
        <w:tc>
          <w:tcPr>
            <w:tcW w:w="6530" w:type="dxa"/>
            <w:gridSpan w:val="4"/>
          </w:tcPr>
          <w:p w:rsidR="00DB266E" w:rsidRPr="00A962CD" w:rsidRDefault="00DB266E" w:rsidP="00243BA4">
            <w:pPr>
              <w:spacing w:line="276" w:lineRule="auto"/>
              <w:jc w:val="both"/>
              <w:rPr>
                <w:rFonts w:ascii="Times New Roman" w:hAnsi="Times New Roman" w:cs="Times New Roman"/>
                <w:b/>
              </w:rPr>
            </w:pPr>
          </w:p>
        </w:tc>
      </w:tr>
      <w:tr w:rsidR="00DB266E" w:rsidRPr="00A962CD" w:rsidTr="00A962CD">
        <w:tc>
          <w:tcPr>
            <w:tcW w:w="3190" w:type="dxa"/>
          </w:tcPr>
          <w:p w:rsidR="003C3A45" w:rsidRPr="003C3A45" w:rsidRDefault="003C3A45" w:rsidP="003C3A45">
            <w:pPr>
              <w:spacing w:line="276" w:lineRule="auto"/>
              <w:rPr>
                <w:rFonts w:ascii="Times New Roman" w:hAnsi="Times New Roman" w:cs="Times New Roman"/>
                <w:sz w:val="20"/>
                <w:szCs w:val="20"/>
              </w:rPr>
            </w:pPr>
            <w:r w:rsidRPr="00BB79C3">
              <w:rPr>
                <w:rFonts w:ascii="Times New Roman" w:hAnsi="Times New Roman" w:cs="Times New Roman"/>
                <w:b/>
                <w:sz w:val="20"/>
                <w:szCs w:val="20"/>
              </w:rPr>
              <w:t>Kriteri 3:</w:t>
            </w:r>
            <w:r w:rsidRPr="003C3A45">
              <w:rPr>
                <w:rFonts w:ascii="Times New Roman" w:hAnsi="Times New Roman" w:cs="Times New Roman"/>
                <w:sz w:val="20"/>
                <w:szCs w:val="20"/>
              </w:rPr>
              <w:t xml:space="preserve"> Studenti i programit specializues merr pjesë në aktivitetet e parashikuara të programit të studimit jashtë punës së tyre klinike.</w:t>
            </w:r>
          </w:p>
          <w:p w:rsidR="003C3A45" w:rsidRPr="003C3A45" w:rsidRDefault="003C3A45" w:rsidP="003C3A45">
            <w:pPr>
              <w:spacing w:line="276" w:lineRule="auto"/>
              <w:rPr>
                <w:rFonts w:ascii="Times New Roman" w:hAnsi="Times New Roman" w:cs="Times New Roman"/>
                <w:sz w:val="20"/>
                <w:szCs w:val="20"/>
              </w:rPr>
            </w:pPr>
            <w:r w:rsidRPr="003C3A45">
              <w:rPr>
                <w:rFonts w:ascii="Times New Roman" w:hAnsi="Times New Roman" w:cs="Times New Roman"/>
                <w:sz w:val="20"/>
                <w:szCs w:val="20"/>
              </w:rPr>
              <w:t>Specializanti është i lirë të marrë pjesë si dëgjues apo si referues në:</w:t>
            </w:r>
          </w:p>
          <w:p w:rsidR="003C3A45" w:rsidRPr="003C3A45" w:rsidRDefault="003C3A45" w:rsidP="003C3A45">
            <w:pPr>
              <w:spacing w:line="276" w:lineRule="auto"/>
              <w:ind w:left="720"/>
              <w:rPr>
                <w:rFonts w:ascii="Times New Roman" w:hAnsi="Times New Roman" w:cs="Times New Roman"/>
                <w:sz w:val="20"/>
                <w:szCs w:val="20"/>
              </w:rPr>
            </w:pPr>
            <w:r w:rsidRPr="00BB79C3">
              <w:rPr>
                <w:rFonts w:ascii="Times New Roman" w:hAnsi="Times New Roman" w:cs="Times New Roman"/>
                <w:b/>
                <w:sz w:val="20"/>
                <w:szCs w:val="20"/>
              </w:rPr>
              <w:t>a.</w:t>
            </w:r>
            <w:r w:rsidRPr="003C3A45">
              <w:rPr>
                <w:rFonts w:ascii="Times New Roman" w:hAnsi="Times New Roman" w:cs="Times New Roman"/>
                <w:sz w:val="20"/>
                <w:szCs w:val="20"/>
              </w:rPr>
              <w:t xml:space="preserve">    Ligjërata;</w:t>
            </w:r>
          </w:p>
          <w:p w:rsidR="003C3A45" w:rsidRPr="003C3A45" w:rsidRDefault="003C3A45" w:rsidP="003C3A45">
            <w:pPr>
              <w:spacing w:line="276" w:lineRule="auto"/>
              <w:ind w:left="720"/>
              <w:rPr>
                <w:rFonts w:ascii="Times New Roman" w:hAnsi="Times New Roman" w:cs="Times New Roman"/>
                <w:sz w:val="20"/>
                <w:szCs w:val="20"/>
              </w:rPr>
            </w:pPr>
            <w:r w:rsidRPr="00BB79C3">
              <w:rPr>
                <w:rFonts w:ascii="Times New Roman" w:hAnsi="Times New Roman" w:cs="Times New Roman"/>
                <w:b/>
                <w:sz w:val="20"/>
                <w:szCs w:val="20"/>
              </w:rPr>
              <w:t>b.</w:t>
            </w:r>
            <w:r w:rsidRPr="003C3A45">
              <w:rPr>
                <w:rFonts w:ascii="Times New Roman" w:hAnsi="Times New Roman" w:cs="Times New Roman"/>
                <w:sz w:val="20"/>
                <w:szCs w:val="20"/>
              </w:rPr>
              <w:t xml:space="preserve">    Seminare;</w:t>
            </w:r>
          </w:p>
          <w:p w:rsidR="003C3A45" w:rsidRPr="003C3A45" w:rsidRDefault="003C3A45" w:rsidP="003C3A45">
            <w:pPr>
              <w:spacing w:line="276" w:lineRule="auto"/>
              <w:ind w:left="720"/>
              <w:rPr>
                <w:rFonts w:ascii="Times New Roman" w:hAnsi="Times New Roman" w:cs="Times New Roman"/>
                <w:sz w:val="20"/>
                <w:szCs w:val="20"/>
              </w:rPr>
            </w:pPr>
            <w:r w:rsidRPr="00BB79C3">
              <w:rPr>
                <w:rFonts w:ascii="Times New Roman" w:hAnsi="Times New Roman" w:cs="Times New Roman"/>
                <w:b/>
                <w:sz w:val="20"/>
                <w:szCs w:val="20"/>
              </w:rPr>
              <w:t>c.</w:t>
            </w:r>
            <w:r w:rsidRPr="003C3A45">
              <w:rPr>
                <w:rFonts w:ascii="Times New Roman" w:hAnsi="Times New Roman" w:cs="Times New Roman"/>
                <w:sz w:val="20"/>
                <w:szCs w:val="20"/>
              </w:rPr>
              <w:t xml:space="preserve">     Debate ndërdisiplinore, të organizuara në kuadër të programit të studimit të specializimeve;</w:t>
            </w:r>
          </w:p>
          <w:p w:rsidR="003C3A45" w:rsidRPr="003C3A45" w:rsidRDefault="003C3A45" w:rsidP="003C3A45">
            <w:pPr>
              <w:spacing w:line="276" w:lineRule="auto"/>
              <w:ind w:left="720"/>
              <w:rPr>
                <w:rFonts w:ascii="Times New Roman" w:hAnsi="Times New Roman" w:cs="Times New Roman"/>
                <w:sz w:val="20"/>
                <w:szCs w:val="20"/>
              </w:rPr>
            </w:pPr>
            <w:r w:rsidRPr="00BB79C3">
              <w:rPr>
                <w:rFonts w:ascii="Times New Roman" w:hAnsi="Times New Roman" w:cs="Times New Roman"/>
                <w:b/>
                <w:sz w:val="20"/>
                <w:szCs w:val="20"/>
              </w:rPr>
              <w:t>d.</w:t>
            </w:r>
            <w:r w:rsidRPr="003C3A45">
              <w:rPr>
                <w:rFonts w:ascii="Times New Roman" w:hAnsi="Times New Roman" w:cs="Times New Roman"/>
                <w:sz w:val="20"/>
                <w:szCs w:val="20"/>
              </w:rPr>
              <w:t xml:space="preserve">    Mundësi të tjera të të mësuarit si: ndjekja e prezantimeve të konferencave dhe seminareve të ndryshme me karakter klinik.</w:t>
            </w:r>
          </w:p>
          <w:p w:rsidR="00DB266E" w:rsidRPr="003C3A45" w:rsidRDefault="003C3A45" w:rsidP="0019184F">
            <w:pPr>
              <w:spacing w:line="276" w:lineRule="auto"/>
              <w:rPr>
                <w:rFonts w:ascii="Times New Roman" w:hAnsi="Times New Roman" w:cs="Times New Roman"/>
                <w:sz w:val="20"/>
                <w:szCs w:val="20"/>
              </w:rPr>
            </w:pPr>
            <w:r w:rsidRPr="003C3A45">
              <w:rPr>
                <w:rFonts w:ascii="Times New Roman" w:hAnsi="Times New Roman" w:cs="Times New Roman"/>
                <w:sz w:val="20"/>
                <w:szCs w:val="20"/>
              </w:rPr>
              <w:lastRenderedPageBreak/>
              <w:t>Udhëheqësit i këshillojnë studentët të marrin pjesë në aktivitete dhe konferenca shkencore që i ndihmoj</w:t>
            </w:r>
            <w:r w:rsidR="0019184F">
              <w:rPr>
                <w:rFonts w:ascii="Times New Roman" w:hAnsi="Times New Roman" w:cs="Times New Roman"/>
                <w:sz w:val="20"/>
                <w:szCs w:val="20"/>
              </w:rPr>
              <w:t>në në punën e tyre dhe klinike.</w:t>
            </w:r>
          </w:p>
        </w:tc>
        <w:tc>
          <w:tcPr>
            <w:tcW w:w="6530" w:type="dxa"/>
            <w:gridSpan w:val="4"/>
          </w:tcPr>
          <w:p w:rsidR="00DB266E" w:rsidRPr="00A962CD" w:rsidRDefault="00DB266E" w:rsidP="00243BA4">
            <w:pPr>
              <w:spacing w:line="276" w:lineRule="auto"/>
              <w:jc w:val="both"/>
              <w:rPr>
                <w:rFonts w:ascii="Times New Roman" w:hAnsi="Times New Roman" w:cs="Times New Roman"/>
                <w:b/>
              </w:rPr>
            </w:pPr>
          </w:p>
        </w:tc>
      </w:tr>
      <w:tr w:rsidR="00DB266E" w:rsidRPr="00A962CD" w:rsidTr="00A962CD">
        <w:tc>
          <w:tcPr>
            <w:tcW w:w="3190" w:type="dxa"/>
          </w:tcPr>
          <w:p w:rsidR="00DB266E" w:rsidRPr="003C3A45" w:rsidRDefault="003C3A45" w:rsidP="0019184F">
            <w:pPr>
              <w:spacing w:line="276" w:lineRule="auto"/>
              <w:rPr>
                <w:rFonts w:ascii="Times New Roman" w:hAnsi="Times New Roman" w:cs="Times New Roman"/>
                <w:sz w:val="20"/>
                <w:szCs w:val="20"/>
              </w:rPr>
            </w:pPr>
            <w:r w:rsidRPr="00BB79C3">
              <w:rPr>
                <w:rFonts w:ascii="Times New Roman" w:hAnsi="Times New Roman" w:cs="Times New Roman"/>
                <w:b/>
                <w:sz w:val="20"/>
                <w:szCs w:val="20"/>
              </w:rPr>
              <w:t>Kriteri 4:</w:t>
            </w:r>
            <w:r w:rsidRPr="003C3A45">
              <w:rPr>
                <w:rFonts w:ascii="Times New Roman" w:hAnsi="Times New Roman" w:cs="Times New Roman"/>
                <w:sz w:val="20"/>
                <w:szCs w:val="20"/>
              </w:rPr>
              <w:t xml:space="preserve"> Studenti para diplomimit të tij, duhet të ketë botuar ose të pranuar të paktën një artikull kërkimor shkencor/eksperimental në një revistë shkencore brenda ose jashtë vendit, ku garantohet që niveli i ngjashmërisë artikullit të jetë nën 30%.  Po ashtu ai duhet të këtë marrë pjesë në jo më pak se 2 aktivitete shkencore kombëtare dhe/ose ndërkombëtare në fus</w:t>
            </w:r>
            <w:r w:rsidR="0019184F">
              <w:rPr>
                <w:rFonts w:ascii="Times New Roman" w:hAnsi="Times New Roman" w:cs="Times New Roman"/>
                <w:sz w:val="20"/>
                <w:szCs w:val="20"/>
              </w:rPr>
              <w:t>hën përkatëse të specializimit.</w:t>
            </w:r>
          </w:p>
        </w:tc>
        <w:tc>
          <w:tcPr>
            <w:tcW w:w="6530" w:type="dxa"/>
            <w:gridSpan w:val="4"/>
          </w:tcPr>
          <w:p w:rsidR="00DB266E" w:rsidRPr="00A962CD" w:rsidRDefault="00DB266E" w:rsidP="00243BA4">
            <w:pPr>
              <w:spacing w:line="276" w:lineRule="auto"/>
              <w:jc w:val="both"/>
              <w:rPr>
                <w:rFonts w:ascii="Times New Roman" w:hAnsi="Times New Roman" w:cs="Times New Roman"/>
                <w:b/>
              </w:rPr>
            </w:pPr>
          </w:p>
        </w:tc>
      </w:tr>
      <w:tr w:rsidR="00485647" w:rsidRPr="00A962CD" w:rsidTr="00A962CD">
        <w:tc>
          <w:tcPr>
            <w:tcW w:w="3190" w:type="dxa"/>
          </w:tcPr>
          <w:p w:rsidR="00485647" w:rsidRPr="003C3A45" w:rsidRDefault="003C3A45" w:rsidP="003C3A45">
            <w:pPr>
              <w:spacing w:line="276" w:lineRule="auto"/>
              <w:rPr>
                <w:rFonts w:ascii="Times New Roman" w:hAnsi="Times New Roman" w:cs="Times New Roman"/>
                <w:sz w:val="20"/>
                <w:szCs w:val="20"/>
              </w:rPr>
            </w:pPr>
            <w:r w:rsidRPr="00BB79C3">
              <w:rPr>
                <w:rFonts w:ascii="Times New Roman" w:hAnsi="Times New Roman" w:cs="Times New Roman"/>
                <w:b/>
                <w:sz w:val="20"/>
                <w:szCs w:val="20"/>
              </w:rPr>
              <w:t>Kriteri 5:</w:t>
            </w:r>
            <w:r w:rsidRPr="003C3A45">
              <w:rPr>
                <w:rFonts w:ascii="Times New Roman" w:hAnsi="Times New Roman" w:cs="Times New Roman"/>
                <w:sz w:val="20"/>
                <w:szCs w:val="20"/>
              </w:rPr>
              <w:t xml:space="preserve"> Studenti fiton aftësi</w:t>
            </w:r>
            <w:r w:rsidRPr="003C3A45">
              <w:rPr>
                <w:rFonts w:ascii="Times New Roman" w:hAnsi="Times New Roman" w:cs="Times New Roman"/>
                <w:sz w:val="20"/>
                <w:szCs w:val="20"/>
              </w:rPr>
              <w:footnoteReference w:id="1"/>
            </w:r>
            <w:r w:rsidRPr="003C3A45">
              <w:rPr>
                <w:rFonts w:ascii="Times New Roman" w:hAnsi="Times New Roman" w:cs="Times New Roman"/>
                <w:sz w:val="20"/>
                <w:szCs w:val="20"/>
              </w:rPr>
              <w:t xml:space="preserve"> për komunikimin e duhur me nive</w:t>
            </w:r>
            <w:r w:rsidR="0019184F">
              <w:rPr>
                <w:rFonts w:ascii="Times New Roman" w:hAnsi="Times New Roman" w:cs="Times New Roman"/>
                <w:sz w:val="20"/>
                <w:szCs w:val="20"/>
              </w:rPr>
              <w:t>l professional.</w:t>
            </w:r>
          </w:p>
        </w:tc>
        <w:tc>
          <w:tcPr>
            <w:tcW w:w="6530" w:type="dxa"/>
            <w:gridSpan w:val="4"/>
          </w:tcPr>
          <w:p w:rsidR="00485647" w:rsidRPr="00A962CD" w:rsidRDefault="00485647" w:rsidP="00243BA4">
            <w:pPr>
              <w:spacing w:line="276" w:lineRule="auto"/>
              <w:jc w:val="both"/>
              <w:rPr>
                <w:rFonts w:ascii="Times New Roman" w:hAnsi="Times New Roman" w:cs="Times New Roman"/>
                <w:b/>
              </w:rPr>
            </w:pPr>
          </w:p>
        </w:tc>
      </w:tr>
      <w:tr w:rsidR="003C3A45" w:rsidRPr="00A962CD" w:rsidTr="00A962CD">
        <w:tc>
          <w:tcPr>
            <w:tcW w:w="3190" w:type="dxa"/>
          </w:tcPr>
          <w:p w:rsidR="003C3A45" w:rsidRPr="003C3A45" w:rsidRDefault="003C3A45" w:rsidP="003C3A45">
            <w:pPr>
              <w:spacing w:line="276" w:lineRule="auto"/>
              <w:rPr>
                <w:rFonts w:ascii="Times New Roman" w:hAnsi="Times New Roman" w:cs="Times New Roman"/>
                <w:sz w:val="20"/>
                <w:szCs w:val="20"/>
              </w:rPr>
            </w:pPr>
            <w:r w:rsidRPr="00BB79C3">
              <w:rPr>
                <w:rFonts w:ascii="Times New Roman" w:hAnsi="Times New Roman" w:cs="Times New Roman"/>
                <w:b/>
                <w:sz w:val="20"/>
                <w:szCs w:val="20"/>
              </w:rPr>
              <w:t>Kriteri 6:</w:t>
            </w:r>
            <w:r w:rsidRPr="003C3A45">
              <w:rPr>
                <w:rFonts w:ascii="Times New Roman" w:hAnsi="Times New Roman" w:cs="Times New Roman"/>
                <w:sz w:val="20"/>
                <w:szCs w:val="20"/>
              </w:rPr>
              <w:t xml:space="preserve"> Studenti ndjek rregullat e sjelljes etike dhe profesionale me pacientët dhe kolegët dhe fiton aftësi për </w:t>
            </w:r>
            <w:r w:rsidR="0019184F">
              <w:rPr>
                <w:rFonts w:ascii="Times New Roman" w:hAnsi="Times New Roman" w:cs="Times New Roman"/>
                <w:sz w:val="20"/>
                <w:szCs w:val="20"/>
              </w:rPr>
              <w:t>komunikim korrekt me të tjerët.</w:t>
            </w:r>
          </w:p>
        </w:tc>
        <w:tc>
          <w:tcPr>
            <w:tcW w:w="6530" w:type="dxa"/>
            <w:gridSpan w:val="4"/>
          </w:tcPr>
          <w:p w:rsidR="003C3A45" w:rsidRPr="00A962CD" w:rsidRDefault="003C3A45" w:rsidP="00243BA4">
            <w:pPr>
              <w:spacing w:line="276" w:lineRule="auto"/>
              <w:jc w:val="both"/>
              <w:rPr>
                <w:rFonts w:ascii="Times New Roman" w:hAnsi="Times New Roman" w:cs="Times New Roman"/>
                <w:b/>
              </w:rPr>
            </w:pPr>
          </w:p>
        </w:tc>
      </w:tr>
      <w:tr w:rsidR="00C1352C" w:rsidRPr="00A962CD" w:rsidTr="00B07698">
        <w:trPr>
          <w:trHeight w:val="315"/>
        </w:trPr>
        <w:tc>
          <w:tcPr>
            <w:tcW w:w="3190" w:type="dxa"/>
            <w:vMerge w:val="restart"/>
            <w:shd w:val="clear" w:color="auto" w:fill="F7CAAC" w:themeFill="accent2" w:themeFillTint="66"/>
          </w:tcPr>
          <w:p w:rsidR="00C1352C" w:rsidRPr="00A962CD" w:rsidRDefault="00C1352C" w:rsidP="00243BA4">
            <w:pPr>
              <w:spacing w:line="276" w:lineRule="auto"/>
              <w:rPr>
                <w:rFonts w:ascii="Times New Roman" w:hAnsi="Times New Roman" w:cs="Times New Roman"/>
                <w:b/>
              </w:rPr>
            </w:pPr>
            <w:r w:rsidRPr="00A962CD">
              <w:rPr>
                <w:rFonts w:ascii="Times New Roman" w:hAnsi="Times New Roman" w:cs="Times New Roman"/>
                <w:b/>
              </w:rPr>
              <w:t>Shkalla e përmbushjes së standardit</w:t>
            </w:r>
          </w:p>
        </w:tc>
        <w:tc>
          <w:tcPr>
            <w:tcW w:w="1490" w:type="dxa"/>
            <w:shd w:val="clear" w:color="auto" w:fill="FF000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Nuk përmbushet</w:t>
            </w:r>
          </w:p>
        </w:tc>
        <w:tc>
          <w:tcPr>
            <w:tcW w:w="1710" w:type="dxa"/>
            <w:shd w:val="clear" w:color="auto" w:fill="FF660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Përmbushet pjesërisht</w:t>
            </w:r>
          </w:p>
        </w:tc>
        <w:tc>
          <w:tcPr>
            <w:tcW w:w="1620" w:type="dxa"/>
            <w:shd w:val="clear" w:color="auto" w:fill="CCCC0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Përmbushet kryesisht</w:t>
            </w:r>
          </w:p>
        </w:tc>
        <w:tc>
          <w:tcPr>
            <w:tcW w:w="1710" w:type="dxa"/>
            <w:shd w:val="clear" w:color="auto" w:fill="92D05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Përmbushet plotësisht</w:t>
            </w:r>
          </w:p>
        </w:tc>
      </w:tr>
      <w:tr w:rsidR="00C1352C" w:rsidRPr="00A962CD" w:rsidTr="00B07698">
        <w:trPr>
          <w:trHeight w:val="315"/>
        </w:trPr>
        <w:tc>
          <w:tcPr>
            <w:tcW w:w="3190" w:type="dxa"/>
            <w:vMerge/>
            <w:shd w:val="clear" w:color="auto" w:fill="F7CAAC" w:themeFill="accent2" w:themeFillTint="66"/>
          </w:tcPr>
          <w:p w:rsidR="00C1352C" w:rsidRPr="00A962CD" w:rsidRDefault="00C1352C" w:rsidP="00243BA4">
            <w:pPr>
              <w:spacing w:line="276" w:lineRule="auto"/>
              <w:rPr>
                <w:rFonts w:ascii="Times New Roman" w:hAnsi="Times New Roman" w:cs="Times New Roman"/>
                <w:b/>
              </w:rPr>
            </w:pPr>
          </w:p>
        </w:tc>
        <w:tc>
          <w:tcPr>
            <w:tcW w:w="1490" w:type="dxa"/>
          </w:tcPr>
          <w:p w:rsidR="00C1352C" w:rsidRPr="00A962CD" w:rsidRDefault="00C1352C" w:rsidP="00243BA4">
            <w:pPr>
              <w:spacing w:line="276" w:lineRule="auto"/>
              <w:jc w:val="both"/>
              <w:rPr>
                <w:rFonts w:ascii="Times New Roman" w:hAnsi="Times New Roman" w:cs="Times New Roman"/>
                <w:b/>
              </w:rPr>
            </w:pPr>
          </w:p>
        </w:tc>
        <w:tc>
          <w:tcPr>
            <w:tcW w:w="1710" w:type="dxa"/>
          </w:tcPr>
          <w:p w:rsidR="00C1352C" w:rsidRPr="00A962CD" w:rsidRDefault="00C1352C" w:rsidP="00243BA4">
            <w:pPr>
              <w:spacing w:line="276" w:lineRule="auto"/>
              <w:jc w:val="both"/>
              <w:rPr>
                <w:rFonts w:ascii="Times New Roman" w:hAnsi="Times New Roman" w:cs="Times New Roman"/>
                <w:b/>
              </w:rPr>
            </w:pPr>
          </w:p>
        </w:tc>
        <w:tc>
          <w:tcPr>
            <w:tcW w:w="1620" w:type="dxa"/>
          </w:tcPr>
          <w:p w:rsidR="00C1352C" w:rsidRPr="00A962CD" w:rsidRDefault="00C1352C" w:rsidP="00243BA4">
            <w:pPr>
              <w:spacing w:line="276" w:lineRule="auto"/>
              <w:jc w:val="both"/>
              <w:rPr>
                <w:rFonts w:ascii="Times New Roman" w:hAnsi="Times New Roman" w:cs="Times New Roman"/>
                <w:b/>
              </w:rPr>
            </w:pPr>
          </w:p>
        </w:tc>
        <w:tc>
          <w:tcPr>
            <w:tcW w:w="1710" w:type="dxa"/>
          </w:tcPr>
          <w:p w:rsidR="00C1352C" w:rsidRPr="00A962CD" w:rsidRDefault="00C1352C" w:rsidP="00243BA4">
            <w:pPr>
              <w:spacing w:line="276" w:lineRule="auto"/>
              <w:jc w:val="both"/>
              <w:rPr>
                <w:rFonts w:ascii="Times New Roman" w:hAnsi="Times New Roman" w:cs="Times New Roman"/>
                <w:b/>
              </w:rPr>
            </w:pPr>
          </w:p>
        </w:tc>
      </w:tr>
    </w:tbl>
    <w:p w:rsidR="00C1352C" w:rsidRPr="00A962CD" w:rsidRDefault="00C1352C"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240"/>
        <w:gridCol w:w="1440"/>
        <w:gridCol w:w="1710"/>
        <w:gridCol w:w="1710"/>
        <w:gridCol w:w="1620"/>
      </w:tblGrid>
      <w:tr w:rsidR="00C1352C" w:rsidRPr="00A962CD" w:rsidTr="00B07698">
        <w:trPr>
          <w:trHeight w:val="315"/>
        </w:trPr>
        <w:tc>
          <w:tcPr>
            <w:tcW w:w="3240" w:type="dxa"/>
            <w:vMerge w:val="restart"/>
          </w:tcPr>
          <w:p w:rsidR="00C1352C" w:rsidRPr="00A962CD" w:rsidRDefault="00C1352C" w:rsidP="00243BA4">
            <w:pPr>
              <w:spacing w:line="276" w:lineRule="auto"/>
              <w:rPr>
                <w:rFonts w:ascii="Times New Roman" w:hAnsi="Times New Roman" w:cs="Times New Roman"/>
                <w:b/>
              </w:rPr>
            </w:pPr>
            <w:r w:rsidRPr="00A962CD">
              <w:rPr>
                <w:rFonts w:ascii="Times New Roman" w:hAnsi="Times New Roman" w:cs="Times New Roman"/>
                <w:b/>
              </w:rPr>
              <w:t>Shkalla e përmbushjes së standardeve të fushës IV</w:t>
            </w:r>
          </w:p>
        </w:tc>
        <w:tc>
          <w:tcPr>
            <w:tcW w:w="1440" w:type="dxa"/>
            <w:shd w:val="clear" w:color="auto" w:fill="FF000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Nuk përmbushet</w:t>
            </w:r>
          </w:p>
        </w:tc>
        <w:tc>
          <w:tcPr>
            <w:tcW w:w="1710" w:type="dxa"/>
            <w:shd w:val="clear" w:color="auto" w:fill="FF660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Përmbushet pjesërisht</w:t>
            </w:r>
          </w:p>
        </w:tc>
        <w:tc>
          <w:tcPr>
            <w:tcW w:w="1710" w:type="dxa"/>
            <w:shd w:val="clear" w:color="auto" w:fill="CCCC0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Përmbushet kryesisht</w:t>
            </w:r>
          </w:p>
        </w:tc>
        <w:tc>
          <w:tcPr>
            <w:tcW w:w="1620" w:type="dxa"/>
            <w:shd w:val="clear" w:color="auto" w:fill="92D05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Përmbushet plotësisht</w:t>
            </w:r>
          </w:p>
        </w:tc>
      </w:tr>
      <w:tr w:rsidR="00C1352C" w:rsidRPr="00A962CD" w:rsidTr="00B07698">
        <w:trPr>
          <w:trHeight w:val="315"/>
        </w:trPr>
        <w:tc>
          <w:tcPr>
            <w:tcW w:w="3240" w:type="dxa"/>
            <w:vMerge/>
          </w:tcPr>
          <w:p w:rsidR="00C1352C" w:rsidRPr="00A962CD" w:rsidRDefault="00C1352C" w:rsidP="00243BA4">
            <w:pPr>
              <w:spacing w:line="276" w:lineRule="auto"/>
              <w:rPr>
                <w:rFonts w:ascii="Times New Roman" w:hAnsi="Times New Roman" w:cs="Times New Roman"/>
                <w:b/>
              </w:rPr>
            </w:pPr>
          </w:p>
        </w:tc>
        <w:tc>
          <w:tcPr>
            <w:tcW w:w="1440" w:type="dxa"/>
          </w:tcPr>
          <w:p w:rsidR="00C1352C" w:rsidRPr="00A962CD" w:rsidRDefault="00C1352C" w:rsidP="00243BA4">
            <w:pPr>
              <w:spacing w:line="276" w:lineRule="auto"/>
              <w:jc w:val="both"/>
              <w:rPr>
                <w:rFonts w:ascii="Times New Roman" w:hAnsi="Times New Roman" w:cs="Times New Roman"/>
                <w:b/>
              </w:rPr>
            </w:pPr>
          </w:p>
        </w:tc>
        <w:tc>
          <w:tcPr>
            <w:tcW w:w="1710" w:type="dxa"/>
          </w:tcPr>
          <w:p w:rsidR="00C1352C" w:rsidRPr="00A962CD" w:rsidRDefault="00C1352C" w:rsidP="00243BA4">
            <w:pPr>
              <w:spacing w:line="276" w:lineRule="auto"/>
              <w:jc w:val="both"/>
              <w:rPr>
                <w:rFonts w:ascii="Times New Roman" w:hAnsi="Times New Roman" w:cs="Times New Roman"/>
                <w:b/>
              </w:rPr>
            </w:pPr>
          </w:p>
        </w:tc>
        <w:tc>
          <w:tcPr>
            <w:tcW w:w="1710" w:type="dxa"/>
          </w:tcPr>
          <w:p w:rsidR="00C1352C" w:rsidRPr="00A962CD" w:rsidRDefault="00C1352C" w:rsidP="00243BA4">
            <w:pPr>
              <w:spacing w:line="276" w:lineRule="auto"/>
              <w:jc w:val="both"/>
              <w:rPr>
                <w:rFonts w:ascii="Times New Roman" w:hAnsi="Times New Roman" w:cs="Times New Roman"/>
                <w:b/>
              </w:rPr>
            </w:pPr>
          </w:p>
        </w:tc>
        <w:tc>
          <w:tcPr>
            <w:tcW w:w="1620" w:type="dxa"/>
          </w:tcPr>
          <w:p w:rsidR="00C1352C" w:rsidRPr="00A962CD" w:rsidRDefault="00C1352C" w:rsidP="00243BA4">
            <w:pPr>
              <w:spacing w:line="276" w:lineRule="auto"/>
              <w:jc w:val="both"/>
              <w:rPr>
                <w:rFonts w:ascii="Times New Roman" w:hAnsi="Times New Roman" w:cs="Times New Roman"/>
                <w:b/>
              </w:rPr>
            </w:pPr>
          </w:p>
        </w:tc>
      </w:tr>
    </w:tbl>
    <w:p w:rsidR="00B75C8F" w:rsidRDefault="00B75C8F" w:rsidP="00B75C8F">
      <w:pPr>
        <w:spacing w:line="276" w:lineRule="auto"/>
        <w:jc w:val="both"/>
        <w:rPr>
          <w:rFonts w:ascii="Times New Roman" w:hAnsi="Times New Roman" w:cs="Times New Roman"/>
          <w:b/>
          <w:sz w:val="28"/>
          <w:szCs w:val="28"/>
        </w:rPr>
      </w:pPr>
    </w:p>
    <w:p w:rsidR="00B75C8F" w:rsidRDefault="00B75C8F" w:rsidP="00B75C8F">
      <w:pPr>
        <w:spacing w:line="276" w:lineRule="auto"/>
        <w:jc w:val="both"/>
        <w:rPr>
          <w:rFonts w:ascii="Times New Roman" w:hAnsi="Times New Roman" w:cs="Times New Roman"/>
          <w:b/>
          <w:sz w:val="28"/>
          <w:szCs w:val="28"/>
        </w:rPr>
      </w:pPr>
    </w:p>
    <w:p w:rsidR="006B72EA" w:rsidRPr="00B75C8F" w:rsidRDefault="006B72EA" w:rsidP="00B75C8F">
      <w:pPr>
        <w:spacing w:line="276" w:lineRule="auto"/>
        <w:jc w:val="both"/>
        <w:rPr>
          <w:rFonts w:ascii="Times New Roman" w:hAnsi="Times New Roman" w:cs="Times New Roman"/>
          <w:b/>
          <w:sz w:val="28"/>
          <w:szCs w:val="28"/>
        </w:rPr>
      </w:pPr>
    </w:p>
    <w:p w:rsidR="00C1352C" w:rsidRPr="00B75C8F" w:rsidRDefault="00B75C8F" w:rsidP="00B75C8F">
      <w:pPr>
        <w:spacing w:line="276" w:lineRule="auto"/>
        <w:ind w:left="90"/>
        <w:jc w:val="both"/>
        <w:rPr>
          <w:rFonts w:ascii="Times New Roman" w:hAnsi="Times New Roman" w:cs="Times New Roman"/>
          <w:b/>
          <w:sz w:val="28"/>
          <w:szCs w:val="28"/>
        </w:rPr>
      </w:pPr>
      <w:r>
        <w:rPr>
          <w:rFonts w:ascii="Times New Roman" w:eastAsia="Times New Roman" w:hAnsi="Times New Roman" w:cs="Times New Roman"/>
          <w:b/>
          <w:sz w:val="24"/>
          <w:szCs w:val="24"/>
          <w:lang w:val="sq-AL"/>
        </w:rPr>
        <w:t xml:space="preserve">V. </w:t>
      </w:r>
      <w:r w:rsidR="00EE7C67">
        <w:rPr>
          <w:rFonts w:ascii="Times New Roman" w:eastAsia="Times New Roman" w:hAnsi="Times New Roman" w:cs="Times New Roman"/>
          <w:b/>
          <w:sz w:val="24"/>
          <w:szCs w:val="24"/>
          <w:lang w:val="sq-AL"/>
        </w:rPr>
        <w:t xml:space="preserve">STUDENTËT </w:t>
      </w:r>
    </w:p>
    <w:tbl>
      <w:tblPr>
        <w:tblStyle w:val="TableGrid"/>
        <w:tblW w:w="9720" w:type="dxa"/>
        <w:tblInd w:w="-185" w:type="dxa"/>
        <w:tblLook w:val="04A0" w:firstRow="1" w:lastRow="0" w:firstColumn="1" w:lastColumn="0" w:noHBand="0" w:noVBand="1"/>
      </w:tblPr>
      <w:tblGrid>
        <w:gridCol w:w="3190"/>
        <w:gridCol w:w="1490"/>
        <w:gridCol w:w="1530"/>
        <w:gridCol w:w="1746"/>
        <w:gridCol w:w="1764"/>
      </w:tblGrid>
      <w:tr w:rsidR="00C1352C" w:rsidRPr="00DD61EB" w:rsidTr="001570C3">
        <w:tc>
          <w:tcPr>
            <w:tcW w:w="9720" w:type="dxa"/>
            <w:gridSpan w:val="5"/>
            <w:shd w:val="clear" w:color="auto" w:fill="F7CAAC" w:themeFill="accent2" w:themeFillTint="66"/>
          </w:tcPr>
          <w:p w:rsidR="00C1352C" w:rsidRPr="00DD61EB" w:rsidRDefault="00C1352C" w:rsidP="00243BA4">
            <w:pPr>
              <w:spacing w:line="276" w:lineRule="auto"/>
              <w:jc w:val="both"/>
              <w:rPr>
                <w:rFonts w:ascii="Times New Roman" w:eastAsia="Times New Roman" w:hAnsi="Times New Roman" w:cs="Times New Roman"/>
                <w:b/>
                <w:lang w:val="sq-AL"/>
              </w:rPr>
            </w:pPr>
            <w:r w:rsidRPr="00DD61EB">
              <w:rPr>
                <w:rFonts w:ascii="Times New Roman" w:eastAsia="Times New Roman" w:hAnsi="Times New Roman" w:cs="Times New Roman"/>
                <w:b/>
                <w:lang w:val="sq-AL"/>
              </w:rPr>
              <w:t>Standardi V.1</w:t>
            </w:r>
          </w:p>
          <w:p w:rsidR="00C1352C" w:rsidRPr="00DD61EB" w:rsidRDefault="00EE7C67" w:rsidP="00243BA4">
            <w:pPr>
              <w:spacing w:line="276" w:lineRule="auto"/>
              <w:jc w:val="both"/>
              <w:rPr>
                <w:rFonts w:ascii="Times New Roman" w:eastAsia="Times New Roman" w:hAnsi="Times New Roman" w:cs="Times New Roman"/>
                <w:b/>
                <w:bCs/>
                <w:lang w:val="sq-AL"/>
              </w:rPr>
            </w:pPr>
            <w:r w:rsidRPr="00EE7C67">
              <w:rPr>
                <w:rFonts w:ascii="Times New Roman" w:eastAsia="Times New Roman" w:hAnsi="Times New Roman" w:cs="Times New Roman"/>
                <w:b/>
                <w:bCs/>
                <w:lang w:val="sq-AL"/>
              </w:rPr>
              <w:t>Studenti që ka përfunduar një program të integruar të studimeve në fushat e mjekësisë, farmacisë, stomatologjisë, plotëson standardet akademike të kritereve të pranimit të institucionit respektiv dhe gëzon të drejtën  për  t’u  regjistruar  në  programet  specializuese  afatgjata  në fushën e mjekësisë.</w:t>
            </w:r>
          </w:p>
        </w:tc>
      </w:tr>
      <w:tr w:rsidR="00C1352C" w:rsidRPr="00DD61EB" w:rsidTr="002D4635">
        <w:trPr>
          <w:trHeight w:val="404"/>
        </w:trPr>
        <w:tc>
          <w:tcPr>
            <w:tcW w:w="3190" w:type="dxa"/>
            <w:shd w:val="clear" w:color="auto" w:fill="C5E0B3" w:themeFill="accent6" w:themeFillTint="66"/>
          </w:tcPr>
          <w:p w:rsidR="00C1352C" w:rsidRPr="00DD61EB" w:rsidRDefault="00C1352C" w:rsidP="00243BA4">
            <w:pPr>
              <w:spacing w:line="276" w:lineRule="auto"/>
              <w:jc w:val="both"/>
              <w:rPr>
                <w:rFonts w:ascii="Times New Roman" w:eastAsia="Times New Roman" w:hAnsi="Times New Roman" w:cs="Times New Roman"/>
                <w:b/>
                <w:bCs/>
                <w:lang w:val="sq-AL"/>
              </w:rPr>
            </w:pPr>
            <w:r w:rsidRPr="00DD61EB">
              <w:rPr>
                <w:rFonts w:ascii="Times New Roman" w:eastAsia="Times New Roman" w:hAnsi="Times New Roman" w:cs="Times New Roman"/>
                <w:b/>
                <w:bCs/>
                <w:lang w:val="sq-AL"/>
              </w:rPr>
              <w:t>Kriteret</w:t>
            </w:r>
          </w:p>
        </w:tc>
        <w:tc>
          <w:tcPr>
            <w:tcW w:w="6530" w:type="dxa"/>
            <w:gridSpan w:val="4"/>
            <w:shd w:val="clear" w:color="auto" w:fill="C5E0B3" w:themeFill="accent6" w:themeFillTint="66"/>
          </w:tcPr>
          <w:p w:rsidR="00C1352C" w:rsidRPr="00DD61EB" w:rsidRDefault="00C1352C" w:rsidP="00B07698">
            <w:pPr>
              <w:spacing w:line="276" w:lineRule="auto"/>
              <w:jc w:val="center"/>
              <w:rPr>
                <w:rFonts w:ascii="Times New Roman" w:eastAsia="Times New Roman" w:hAnsi="Times New Roman" w:cs="Times New Roman"/>
                <w:b/>
                <w:bCs/>
                <w:lang w:val="sq-AL"/>
              </w:rPr>
            </w:pPr>
            <w:r w:rsidRPr="00DD61EB">
              <w:rPr>
                <w:rFonts w:ascii="Times New Roman" w:eastAsia="Times New Roman" w:hAnsi="Times New Roman" w:cs="Times New Roman"/>
                <w:b/>
                <w:bCs/>
                <w:lang w:val="sq-AL"/>
              </w:rPr>
              <w:t>Vlerësimi i ekspertëve</w:t>
            </w:r>
          </w:p>
        </w:tc>
      </w:tr>
      <w:tr w:rsidR="00460FC2" w:rsidRPr="00DD61EB" w:rsidTr="002D4635">
        <w:tc>
          <w:tcPr>
            <w:tcW w:w="3190" w:type="dxa"/>
          </w:tcPr>
          <w:p w:rsidR="00460FC2" w:rsidRPr="00EE7C67" w:rsidRDefault="00EE7C67" w:rsidP="00B07698">
            <w:pPr>
              <w:spacing w:line="276" w:lineRule="auto"/>
              <w:rPr>
                <w:rFonts w:ascii="Times New Roman" w:hAnsi="Times New Roman" w:cs="Times New Roman"/>
                <w:sz w:val="20"/>
                <w:szCs w:val="20"/>
              </w:rPr>
            </w:pPr>
            <w:r w:rsidRPr="00EE7C67">
              <w:rPr>
                <w:rFonts w:ascii="Times New Roman" w:hAnsi="Times New Roman" w:cs="Times New Roman"/>
                <w:b/>
                <w:sz w:val="20"/>
                <w:szCs w:val="20"/>
              </w:rPr>
              <w:lastRenderedPageBreak/>
              <w:t>Kriteri 1:</w:t>
            </w:r>
            <w:r w:rsidRPr="00EE7C67">
              <w:rPr>
                <w:rFonts w:ascii="Times New Roman" w:hAnsi="Times New Roman" w:cs="Times New Roman"/>
                <w:sz w:val="20"/>
                <w:szCs w:val="20"/>
              </w:rPr>
              <w:t xml:space="preserve"> Aplikanti që kërkon të pranohet në programin e studimeve specializues i nënshtrohet provimit të pranimit në programin e studimit special</w:t>
            </w:r>
            <w:r w:rsidR="00B07698">
              <w:rPr>
                <w:rFonts w:ascii="Times New Roman" w:hAnsi="Times New Roman" w:cs="Times New Roman"/>
                <w:sz w:val="20"/>
                <w:szCs w:val="20"/>
              </w:rPr>
              <w:t>izues për të cilin ka aplikuar.</w:t>
            </w:r>
          </w:p>
        </w:tc>
        <w:tc>
          <w:tcPr>
            <w:tcW w:w="6530" w:type="dxa"/>
            <w:gridSpan w:val="4"/>
          </w:tcPr>
          <w:p w:rsidR="00460FC2" w:rsidRPr="00DD61EB" w:rsidRDefault="00460FC2" w:rsidP="00243BA4">
            <w:pPr>
              <w:spacing w:line="276" w:lineRule="auto"/>
              <w:jc w:val="both"/>
              <w:rPr>
                <w:rFonts w:ascii="Times New Roman" w:hAnsi="Times New Roman" w:cs="Times New Roman"/>
                <w:b/>
              </w:rPr>
            </w:pPr>
          </w:p>
        </w:tc>
      </w:tr>
      <w:tr w:rsidR="00460FC2" w:rsidRPr="00DD61EB" w:rsidTr="002D4635">
        <w:tc>
          <w:tcPr>
            <w:tcW w:w="3190" w:type="dxa"/>
          </w:tcPr>
          <w:p w:rsidR="00460FC2" w:rsidRPr="00EE7C67" w:rsidRDefault="00EE7C67" w:rsidP="00B07698">
            <w:pPr>
              <w:spacing w:line="276" w:lineRule="auto"/>
              <w:rPr>
                <w:rFonts w:ascii="Times New Roman" w:hAnsi="Times New Roman" w:cs="Times New Roman"/>
                <w:sz w:val="20"/>
                <w:szCs w:val="20"/>
              </w:rPr>
            </w:pPr>
            <w:r w:rsidRPr="00EE7C67">
              <w:rPr>
                <w:rFonts w:ascii="Times New Roman" w:hAnsi="Times New Roman" w:cs="Times New Roman"/>
                <w:b/>
                <w:sz w:val="20"/>
                <w:szCs w:val="20"/>
              </w:rPr>
              <w:t>Kriteri 2:</w:t>
            </w:r>
            <w:r w:rsidRPr="00EE7C67">
              <w:rPr>
                <w:rFonts w:ascii="Times New Roman" w:hAnsi="Times New Roman" w:cs="Times New Roman"/>
                <w:sz w:val="20"/>
                <w:szCs w:val="20"/>
              </w:rPr>
              <w:t xml:space="preserve"> Institucioni disponon një model teorik të informatizuar për përcaktimin e njohurive, kapacitetit, aftësive te aplikantëve në këndvështrime të ndryshme (ope</w:t>
            </w:r>
            <w:r w:rsidR="00B07698">
              <w:rPr>
                <w:rFonts w:ascii="Times New Roman" w:hAnsi="Times New Roman" w:cs="Times New Roman"/>
                <w:sz w:val="20"/>
                <w:szCs w:val="20"/>
              </w:rPr>
              <w:t>rativ, konjitiv e relacionues).</w:t>
            </w:r>
          </w:p>
        </w:tc>
        <w:tc>
          <w:tcPr>
            <w:tcW w:w="6530" w:type="dxa"/>
            <w:gridSpan w:val="4"/>
          </w:tcPr>
          <w:p w:rsidR="00460FC2" w:rsidRPr="00DD61EB" w:rsidRDefault="00460FC2" w:rsidP="00243BA4">
            <w:pPr>
              <w:spacing w:line="276" w:lineRule="auto"/>
              <w:jc w:val="both"/>
              <w:rPr>
                <w:rFonts w:ascii="Times New Roman" w:hAnsi="Times New Roman" w:cs="Times New Roman"/>
                <w:b/>
              </w:rPr>
            </w:pPr>
          </w:p>
        </w:tc>
      </w:tr>
      <w:tr w:rsidR="00460FC2" w:rsidRPr="00DD61EB" w:rsidTr="002D4635">
        <w:tc>
          <w:tcPr>
            <w:tcW w:w="3190" w:type="dxa"/>
          </w:tcPr>
          <w:p w:rsidR="00460FC2" w:rsidRPr="00EE7C67" w:rsidRDefault="00EE7C67" w:rsidP="00B07698">
            <w:pPr>
              <w:spacing w:line="276" w:lineRule="auto"/>
              <w:rPr>
                <w:rFonts w:ascii="Times New Roman" w:hAnsi="Times New Roman" w:cs="Times New Roman"/>
                <w:sz w:val="20"/>
                <w:szCs w:val="20"/>
              </w:rPr>
            </w:pPr>
            <w:r w:rsidRPr="00EE7C67">
              <w:rPr>
                <w:rFonts w:ascii="Times New Roman" w:hAnsi="Times New Roman" w:cs="Times New Roman"/>
                <w:b/>
                <w:sz w:val="20"/>
                <w:szCs w:val="20"/>
              </w:rPr>
              <w:t>Kriteri 3:</w:t>
            </w:r>
            <w:r w:rsidRPr="00EE7C67">
              <w:rPr>
                <w:rFonts w:ascii="Times New Roman" w:hAnsi="Times New Roman" w:cs="Times New Roman"/>
                <w:sz w:val="20"/>
                <w:szCs w:val="20"/>
              </w:rPr>
              <w:t xml:space="preserve"> Institucioni shpall paraprakisht programin e parashikuar për provimin e pranimit dhe instrumentat që përdor për përcaktimin e njohurive, kapacitetit, aftësive të aplikantëv</w:t>
            </w:r>
            <w:r w:rsidR="00B07698">
              <w:rPr>
                <w:rFonts w:ascii="Times New Roman" w:hAnsi="Times New Roman" w:cs="Times New Roman"/>
                <w:sz w:val="20"/>
                <w:szCs w:val="20"/>
              </w:rPr>
              <w:t>e në këndvështrime të ndryshme.</w:t>
            </w:r>
          </w:p>
        </w:tc>
        <w:tc>
          <w:tcPr>
            <w:tcW w:w="6530" w:type="dxa"/>
            <w:gridSpan w:val="4"/>
          </w:tcPr>
          <w:p w:rsidR="00460FC2" w:rsidRPr="00DD61EB" w:rsidRDefault="00460FC2" w:rsidP="00243BA4">
            <w:pPr>
              <w:spacing w:line="276" w:lineRule="auto"/>
              <w:jc w:val="both"/>
              <w:rPr>
                <w:rFonts w:ascii="Times New Roman" w:hAnsi="Times New Roman" w:cs="Times New Roman"/>
                <w:b/>
              </w:rPr>
            </w:pPr>
          </w:p>
        </w:tc>
      </w:tr>
      <w:tr w:rsidR="00460FC2" w:rsidRPr="00DD61EB" w:rsidTr="002D4635">
        <w:tc>
          <w:tcPr>
            <w:tcW w:w="3190" w:type="dxa"/>
          </w:tcPr>
          <w:p w:rsidR="00460FC2" w:rsidRPr="00EE7C67" w:rsidRDefault="00EE7C67" w:rsidP="00B07698">
            <w:pPr>
              <w:spacing w:line="276" w:lineRule="auto"/>
              <w:rPr>
                <w:rFonts w:ascii="Times New Roman" w:hAnsi="Times New Roman" w:cs="Times New Roman"/>
                <w:sz w:val="20"/>
                <w:szCs w:val="20"/>
              </w:rPr>
            </w:pPr>
            <w:r w:rsidRPr="00EE7C67">
              <w:rPr>
                <w:rFonts w:ascii="Times New Roman" w:hAnsi="Times New Roman" w:cs="Times New Roman"/>
                <w:b/>
                <w:sz w:val="20"/>
                <w:szCs w:val="20"/>
              </w:rPr>
              <w:t>Kriteri 4:</w:t>
            </w:r>
            <w:r w:rsidRPr="00EE7C67">
              <w:rPr>
                <w:rFonts w:ascii="Times New Roman" w:hAnsi="Times New Roman" w:cs="Times New Roman"/>
                <w:sz w:val="20"/>
                <w:szCs w:val="20"/>
              </w:rPr>
              <w:t xml:space="preserve"> Institucioni vlerëson në mënyrë të vazhdueshme politikat e pranimit dhe ndikimin e tyre në përparimin e mëtejshëm të stud</w:t>
            </w:r>
            <w:r w:rsidR="00B07698">
              <w:rPr>
                <w:rFonts w:ascii="Times New Roman" w:hAnsi="Times New Roman" w:cs="Times New Roman"/>
                <w:sz w:val="20"/>
                <w:szCs w:val="20"/>
              </w:rPr>
              <w:t>entëve në programin e studimit.</w:t>
            </w:r>
          </w:p>
        </w:tc>
        <w:tc>
          <w:tcPr>
            <w:tcW w:w="6530" w:type="dxa"/>
            <w:gridSpan w:val="4"/>
          </w:tcPr>
          <w:p w:rsidR="00460FC2" w:rsidRPr="00DD61EB" w:rsidRDefault="00460FC2" w:rsidP="00243BA4">
            <w:pPr>
              <w:spacing w:line="276" w:lineRule="auto"/>
              <w:jc w:val="both"/>
              <w:rPr>
                <w:rFonts w:ascii="Times New Roman" w:hAnsi="Times New Roman" w:cs="Times New Roman"/>
                <w:b/>
              </w:rPr>
            </w:pPr>
          </w:p>
        </w:tc>
      </w:tr>
      <w:tr w:rsidR="00C1352C" w:rsidRPr="00DD61EB" w:rsidTr="002D4635">
        <w:trPr>
          <w:trHeight w:val="315"/>
        </w:trPr>
        <w:tc>
          <w:tcPr>
            <w:tcW w:w="3190" w:type="dxa"/>
            <w:vMerge w:val="restart"/>
            <w:shd w:val="clear" w:color="auto" w:fill="F7CAAC" w:themeFill="accent2" w:themeFillTint="66"/>
          </w:tcPr>
          <w:p w:rsidR="00C1352C" w:rsidRPr="00DD61EB" w:rsidRDefault="00C1352C" w:rsidP="00243BA4">
            <w:pPr>
              <w:spacing w:line="276" w:lineRule="auto"/>
              <w:rPr>
                <w:rFonts w:ascii="Times New Roman" w:hAnsi="Times New Roman" w:cs="Times New Roman"/>
                <w:b/>
              </w:rPr>
            </w:pPr>
            <w:r w:rsidRPr="00DD61EB">
              <w:rPr>
                <w:rFonts w:ascii="Times New Roman" w:hAnsi="Times New Roman" w:cs="Times New Roman"/>
                <w:b/>
              </w:rPr>
              <w:t>Shkalla e përmbushjes së standardit</w:t>
            </w:r>
          </w:p>
        </w:tc>
        <w:tc>
          <w:tcPr>
            <w:tcW w:w="1490" w:type="dxa"/>
            <w:shd w:val="clear" w:color="auto" w:fill="FF00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Nuk përmbushet</w:t>
            </w:r>
          </w:p>
        </w:tc>
        <w:tc>
          <w:tcPr>
            <w:tcW w:w="1530" w:type="dxa"/>
            <w:shd w:val="clear" w:color="auto" w:fill="FF66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pjesërisht</w:t>
            </w:r>
          </w:p>
        </w:tc>
        <w:tc>
          <w:tcPr>
            <w:tcW w:w="1746" w:type="dxa"/>
            <w:shd w:val="clear" w:color="auto" w:fill="CCCC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kryesisht</w:t>
            </w:r>
          </w:p>
        </w:tc>
        <w:tc>
          <w:tcPr>
            <w:tcW w:w="1764" w:type="dxa"/>
            <w:shd w:val="clear" w:color="auto" w:fill="92D05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plotësisht</w:t>
            </w:r>
          </w:p>
        </w:tc>
      </w:tr>
      <w:tr w:rsidR="00C1352C" w:rsidRPr="00DD61EB" w:rsidTr="002D4635">
        <w:trPr>
          <w:trHeight w:val="315"/>
        </w:trPr>
        <w:tc>
          <w:tcPr>
            <w:tcW w:w="3190" w:type="dxa"/>
            <w:vMerge/>
            <w:shd w:val="clear" w:color="auto" w:fill="F7CAAC" w:themeFill="accent2" w:themeFillTint="66"/>
          </w:tcPr>
          <w:p w:rsidR="00C1352C" w:rsidRPr="00DD61EB" w:rsidRDefault="00C1352C" w:rsidP="00243BA4">
            <w:pPr>
              <w:spacing w:line="276" w:lineRule="auto"/>
              <w:rPr>
                <w:rFonts w:ascii="Times New Roman" w:hAnsi="Times New Roman" w:cs="Times New Roman"/>
                <w:b/>
              </w:rPr>
            </w:pPr>
          </w:p>
        </w:tc>
        <w:tc>
          <w:tcPr>
            <w:tcW w:w="1490" w:type="dxa"/>
          </w:tcPr>
          <w:p w:rsidR="00C1352C" w:rsidRPr="00DD61EB" w:rsidRDefault="00C1352C" w:rsidP="00243BA4">
            <w:pPr>
              <w:spacing w:line="276" w:lineRule="auto"/>
              <w:jc w:val="both"/>
              <w:rPr>
                <w:rFonts w:ascii="Times New Roman" w:hAnsi="Times New Roman" w:cs="Times New Roman"/>
                <w:b/>
              </w:rPr>
            </w:pPr>
          </w:p>
        </w:tc>
        <w:tc>
          <w:tcPr>
            <w:tcW w:w="1530" w:type="dxa"/>
          </w:tcPr>
          <w:p w:rsidR="00C1352C" w:rsidRPr="00DD61EB" w:rsidRDefault="00C1352C" w:rsidP="00243BA4">
            <w:pPr>
              <w:spacing w:line="276" w:lineRule="auto"/>
              <w:jc w:val="both"/>
              <w:rPr>
                <w:rFonts w:ascii="Times New Roman" w:hAnsi="Times New Roman" w:cs="Times New Roman"/>
                <w:b/>
              </w:rPr>
            </w:pPr>
          </w:p>
        </w:tc>
        <w:tc>
          <w:tcPr>
            <w:tcW w:w="1746" w:type="dxa"/>
          </w:tcPr>
          <w:p w:rsidR="00C1352C" w:rsidRPr="00DD61EB" w:rsidRDefault="00C1352C" w:rsidP="00243BA4">
            <w:pPr>
              <w:spacing w:line="276" w:lineRule="auto"/>
              <w:jc w:val="both"/>
              <w:rPr>
                <w:rFonts w:ascii="Times New Roman" w:hAnsi="Times New Roman" w:cs="Times New Roman"/>
                <w:b/>
              </w:rPr>
            </w:pPr>
          </w:p>
        </w:tc>
        <w:tc>
          <w:tcPr>
            <w:tcW w:w="1764" w:type="dxa"/>
          </w:tcPr>
          <w:p w:rsidR="00C1352C" w:rsidRPr="00DD61EB" w:rsidRDefault="00C1352C" w:rsidP="00243BA4">
            <w:pPr>
              <w:spacing w:line="276" w:lineRule="auto"/>
              <w:jc w:val="both"/>
              <w:rPr>
                <w:rFonts w:ascii="Times New Roman" w:hAnsi="Times New Roman" w:cs="Times New Roman"/>
                <w:b/>
              </w:rPr>
            </w:pPr>
          </w:p>
        </w:tc>
      </w:tr>
    </w:tbl>
    <w:p w:rsidR="00460FC2" w:rsidRPr="00B07698" w:rsidRDefault="00460FC2" w:rsidP="00B07698">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99"/>
        <w:gridCol w:w="1481"/>
        <w:gridCol w:w="1519"/>
        <w:gridCol w:w="1721"/>
        <w:gridCol w:w="1800"/>
      </w:tblGrid>
      <w:tr w:rsidR="00C1352C" w:rsidRPr="00DD61EB" w:rsidTr="001570C3">
        <w:tc>
          <w:tcPr>
            <w:tcW w:w="9720" w:type="dxa"/>
            <w:gridSpan w:val="5"/>
            <w:shd w:val="clear" w:color="auto" w:fill="F7CAAC" w:themeFill="accent2" w:themeFillTint="66"/>
          </w:tcPr>
          <w:p w:rsidR="00C1352C" w:rsidRPr="00DD61EB" w:rsidRDefault="00C1352C" w:rsidP="00243BA4">
            <w:pPr>
              <w:spacing w:line="276" w:lineRule="auto"/>
              <w:jc w:val="both"/>
              <w:rPr>
                <w:rFonts w:ascii="Times New Roman" w:hAnsi="Times New Roman" w:cs="Times New Roman"/>
                <w:b/>
                <w:lang w:val="sq-AL"/>
              </w:rPr>
            </w:pPr>
            <w:r w:rsidRPr="00DD61EB">
              <w:rPr>
                <w:rFonts w:ascii="Times New Roman" w:hAnsi="Times New Roman" w:cs="Times New Roman"/>
                <w:b/>
                <w:lang w:val="sq-AL"/>
              </w:rPr>
              <w:t xml:space="preserve">Standardi V.2  </w:t>
            </w:r>
          </w:p>
          <w:p w:rsidR="00C1352C" w:rsidRPr="00DD61EB" w:rsidRDefault="00EE7C67" w:rsidP="00243BA4">
            <w:pPr>
              <w:spacing w:line="276" w:lineRule="auto"/>
              <w:jc w:val="both"/>
              <w:rPr>
                <w:rFonts w:ascii="Times New Roman" w:hAnsi="Times New Roman" w:cs="Times New Roman"/>
                <w:b/>
              </w:rPr>
            </w:pPr>
            <w:r w:rsidRPr="00EE7C67">
              <w:rPr>
                <w:rFonts w:ascii="Times New Roman" w:eastAsia="Times New Roman" w:hAnsi="Times New Roman" w:cs="Times New Roman"/>
                <w:b/>
                <w:bCs/>
                <w:lang w:val="sq-AL"/>
              </w:rPr>
              <w:t>Institucioni disponon statistika në lidhje me numrin dhe të dhënat e studentëve që ndjekin programet e studimit specializuese afatgjata.</w:t>
            </w:r>
          </w:p>
        </w:tc>
      </w:tr>
      <w:tr w:rsidR="00C1352C" w:rsidRPr="00DD61EB" w:rsidTr="00E37368">
        <w:trPr>
          <w:trHeight w:val="377"/>
        </w:trPr>
        <w:tc>
          <w:tcPr>
            <w:tcW w:w="3199" w:type="dxa"/>
            <w:shd w:val="clear" w:color="auto" w:fill="C5E0B3" w:themeFill="accent6" w:themeFillTint="66"/>
          </w:tcPr>
          <w:p w:rsidR="00C1352C" w:rsidRPr="00DD61EB" w:rsidRDefault="00C1352C" w:rsidP="00243BA4">
            <w:pPr>
              <w:spacing w:line="276" w:lineRule="auto"/>
              <w:jc w:val="both"/>
              <w:rPr>
                <w:rFonts w:ascii="Times New Roman" w:eastAsia="Times New Roman" w:hAnsi="Times New Roman" w:cs="Times New Roman"/>
                <w:b/>
                <w:bCs/>
                <w:lang w:val="sq-AL"/>
              </w:rPr>
            </w:pPr>
            <w:r w:rsidRPr="00DD61EB">
              <w:rPr>
                <w:rFonts w:ascii="Times New Roman" w:eastAsia="Times New Roman" w:hAnsi="Times New Roman" w:cs="Times New Roman"/>
                <w:b/>
                <w:bCs/>
                <w:lang w:val="sq-AL"/>
              </w:rPr>
              <w:t>Kriteret</w:t>
            </w:r>
          </w:p>
        </w:tc>
        <w:tc>
          <w:tcPr>
            <w:tcW w:w="6521" w:type="dxa"/>
            <w:gridSpan w:val="4"/>
            <w:shd w:val="clear" w:color="auto" w:fill="C5E0B3" w:themeFill="accent6" w:themeFillTint="66"/>
          </w:tcPr>
          <w:p w:rsidR="00C1352C" w:rsidRPr="00DD61EB" w:rsidRDefault="00C1352C" w:rsidP="00B07698">
            <w:pPr>
              <w:spacing w:line="276" w:lineRule="auto"/>
              <w:jc w:val="center"/>
              <w:rPr>
                <w:rFonts w:ascii="Times New Roman" w:eastAsia="Times New Roman" w:hAnsi="Times New Roman" w:cs="Times New Roman"/>
                <w:b/>
                <w:bCs/>
                <w:lang w:val="sq-AL"/>
              </w:rPr>
            </w:pPr>
            <w:r w:rsidRPr="00DD61EB">
              <w:rPr>
                <w:rFonts w:ascii="Times New Roman" w:eastAsia="Times New Roman" w:hAnsi="Times New Roman" w:cs="Times New Roman"/>
                <w:b/>
                <w:bCs/>
                <w:lang w:val="sq-AL"/>
              </w:rPr>
              <w:t>Vlerësimi i ekspertëve</w:t>
            </w:r>
          </w:p>
        </w:tc>
      </w:tr>
      <w:tr w:rsidR="00460FC2" w:rsidRPr="00DD61EB" w:rsidTr="00B9204D">
        <w:tc>
          <w:tcPr>
            <w:tcW w:w="3199" w:type="dxa"/>
          </w:tcPr>
          <w:p w:rsidR="00460FC2" w:rsidRPr="00EE7C67" w:rsidRDefault="00EE7C67" w:rsidP="00B07698">
            <w:pPr>
              <w:spacing w:line="276" w:lineRule="auto"/>
              <w:rPr>
                <w:rFonts w:ascii="Times New Roman" w:hAnsi="Times New Roman" w:cs="Times New Roman"/>
                <w:sz w:val="20"/>
                <w:szCs w:val="20"/>
              </w:rPr>
            </w:pPr>
            <w:r w:rsidRPr="00A33C75">
              <w:rPr>
                <w:rFonts w:ascii="Times New Roman" w:hAnsi="Times New Roman" w:cs="Times New Roman"/>
                <w:b/>
                <w:sz w:val="20"/>
                <w:szCs w:val="20"/>
              </w:rPr>
              <w:t>Kriteri 1:</w:t>
            </w:r>
            <w:r w:rsidRPr="00EE7C67">
              <w:rPr>
                <w:rFonts w:ascii="Times New Roman" w:hAnsi="Times New Roman" w:cs="Times New Roman"/>
                <w:sz w:val="20"/>
                <w:szCs w:val="20"/>
              </w:rPr>
              <w:t xml:space="preserve"> Institucioni ka një pasqyrë të përvitshme për numrin e të diplomuarve, në programet specializuese afatgjata, tërheqjet nga programi, si dhe largimet para përfundimit të programit apo mospërfundim</w:t>
            </w:r>
            <w:r w:rsidR="00B07698">
              <w:rPr>
                <w:rFonts w:ascii="Times New Roman" w:hAnsi="Times New Roman" w:cs="Times New Roman"/>
                <w:sz w:val="20"/>
                <w:szCs w:val="20"/>
              </w:rPr>
              <w:t>in me sukses të vitit akademik.</w:t>
            </w:r>
          </w:p>
        </w:tc>
        <w:tc>
          <w:tcPr>
            <w:tcW w:w="6521" w:type="dxa"/>
            <w:gridSpan w:val="4"/>
          </w:tcPr>
          <w:p w:rsidR="00460FC2" w:rsidRPr="00DD61EB" w:rsidRDefault="00460FC2" w:rsidP="00243BA4">
            <w:pPr>
              <w:spacing w:line="276" w:lineRule="auto"/>
              <w:jc w:val="both"/>
              <w:rPr>
                <w:rFonts w:ascii="Times New Roman" w:hAnsi="Times New Roman" w:cs="Times New Roman"/>
                <w:b/>
              </w:rPr>
            </w:pPr>
          </w:p>
        </w:tc>
      </w:tr>
      <w:tr w:rsidR="00460FC2" w:rsidRPr="00DD61EB" w:rsidTr="00B9204D">
        <w:tc>
          <w:tcPr>
            <w:tcW w:w="3199" w:type="dxa"/>
          </w:tcPr>
          <w:p w:rsidR="00460FC2" w:rsidRPr="00EE7C67" w:rsidRDefault="00EE7C67" w:rsidP="00B07698">
            <w:pPr>
              <w:spacing w:line="276" w:lineRule="auto"/>
              <w:rPr>
                <w:rFonts w:ascii="Times New Roman" w:hAnsi="Times New Roman" w:cs="Times New Roman"/>
                <w:sz w:val="20"/>
                <w:szCs w:val="20"/>
              </w:rPr>
            </w:pPr>
            <w:r w:rsidRPr="00A33C75">
              <w:rPr>
                <w:rFonts w:ascii="Times New Roman" w:hAnsi="Times New Roman" w:cs="Times New Roman"/>
                <w:b/>
                <w:sz w:val="20"/>
                <w:szCs w:val="20"/>
              </w:rPr>
              <w:t>Kriteri 2:</w:t>
            </w:r>
            <w:r w:rsidRPr="00EE7C67">
              <w:rPr>
                <w:rFonts w:ascii="Times New Roman" w:hAnsi="Times New Roman" w:cs="Times New Roman"/>
                <w:sz w:val="20"/>
                <w:szCs w:val="20"/>
              </w:rPr>
              <w:t xml:space="preserve"> Institucioni zotëron të dhëna individuale për ecurinë akademike të studentëve që nga pranimi (notat e mëparshme p.sh.  </w:t>
            </w:r>
            <w:r w:rsidR="00A33C75">
              <w:rPr>
                <w:rFonts w:ascii="Times New Roman" w:hAnsi="Times New Roman" w:cs="Times New Roman"/>
                <w:sz w:val="20"/>
                <w:szCs w:val="20"/>
              </w:rPr>
              <w:t>v</w:t>
            </w:r>
            <w:r w:rsidRPr="00EE7C67">
              <w:rPr>
                <w:rFonts w:ascii="Times New Roman" w:hAnsi="Times New Roman" w:cs="Times New Roman"/>
                <w:sz w:val="20"/>
                <w:szCs w:val="20"/>
              </w:rPr>
              <w:t xml:space="preserve">lerësimin e studentëve në programin </w:t>
            </w:r>
            <w:r w:rsidR="00B07698">
              <w:rPr>
                <w:rFonts w:ascii="Times New Roman" w:hAnsi="Times New Roman" w:cs="Times New Roman"/>
                <w:sz w:val="20"/>
                <w:szCs w:val="20"/>
              </w:rPr>
              <w:t>e mëparshëm të studimit, etj.).</w:t>
            </w:r>
          </w:p>
        </w:tc>
        <w:tc>
          <w:tcPr>
            <w:tcW w:w="6521" w:type="dxa"/>
            <w:gridSpan w:val="4"/>
          </w:tcPr>
          <w:p w:rsidR="00460FC2" w:rsidRPr="00DD61EB" w:rsidRDefault="00460FC2" w:rsidP="00243BA4">
            <w:pPr>
              <w:spacing w:line="276" w:lineRule="auto"/>
              <w:jc w:val="both"/>
              <w:rPr>
                <w:rFonts w:ascii="Times New Roman" w:hAnsi="Times New Roman" w:cs="Times New Roman"/>
                <w:b/>
              </w:rPr>
            </w:pPr>
          </w:p>
        </w:tc>
      </w:tr>
      <w:tr w:rsidR="00C1352C" w:rsidRPr="00DD61EB" w:rsidTr="00C626EA">
        <w:trPr>
          <w:trHeight w:val="315"/>
        </w:trPr>
        <w:tc>
          <w:tcPr>
            <w:tcW w:w="3199" w:type="dxa"/>
            <w:vMerge w:val="restart"/>
            <w:shd w:val="clear" w:color="auto" w:fill="F7CAAC" w:themeFill="accent2" w:themeFillTint="66"/>
          </w:tcPr>
          <w:p w:rsidR="00C1352C" w:rsidRPr="00DD61EB" w:rsidRDefault="00C1352C" w:rsidP="00243BA4">
            <w:pPr>
              <w:spacing w:line="276" w:lineRule="auto"/>
              <w:rPr>
                <w:rFonts w:ascii="Times New Roman" w:hAnsi="Times New Roman" w:cs="Times New Roman"/>
                <w:b/>
              </w:rPr>
            </w:pPr>
            <w:r w:rsidRPr="00DD61EB">
              <w:rPr>
                <w:rFonts w:ascii="Times New Roman" w:hAnsi="Times New Roman" w:cs="Times New Roman"/>
                <w:b/>
              </w:rPr>
              <w:t>Shkalla e përmbushjes së standardit</w:t>
            </w:r>
          </w:p>
        </w:tc>
        <w:tc>
          <w:tcPr>
            <w:tcW w:w="1481" w:type="dxa"/>
            <w:shd w:val="clear" w:color="auto" w:fill="FF00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Nuk përmbushet</w:t>
            </w:r>
          </w:p>
        </w:tc>
        <w:tc>
          <w:tcPr>
            <w:tcW w:w="1519" w:type="dxa"/>
            <w:shd w:val="clear" w:color="auto" w:fill="FF66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pjesërisht</w:t>
            </w:r>
          </w:p>
        </w:tc>
        <w:tc>
          <w:tcPr>
            <w:tcW w:w="1721" w:type="dxa"/>
            <w:shd w:val="clear" w:color="auto" w:fill="CCCC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kryesisht</w:t>
            </w:r>
          </w:p>
        </w:tc>
        <w:tc>
          <w:tcPr>
            <w:tcW w:w="1800" w:type="dxa"/>
            <w:shd w:val="clear" w:color="auto" w:fill="92D05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plotësisht</w:t>
            </w:r>
          </w:p>
        </w:tc>
      </w:tr>
      <w:tr w:rsidR="00C1352C" w:rsidRPr="00DD61EB" w:rsidTr="00C626EA">
        <w:trPr>
          <w:trHeight w:val="315"/>
        </w:trPr>
        <w:tc>
          <w:tcPr>
            <w:tcW w:w="3199" w:type="dxa"/>
            <w:vMerge/>
            <w:shd w:val="clear" w:color="auto" w:fill="F7CAAC" w:themeFill="accent2" w:themeFillTint="66"/>
          </w:tcPr>
          <w:p w:rsidR="00C1352C" w:rsidRPr="00DD61EB" w:rsidRDefault="00C1352C" w:rsidP="00243BA4">
            <w:pPr>
              <w:spacing w:line="276" w:lineRule="auto"/>
              <w:rPr>
                <w:rFonts w:ascii="Times New Roman" w:hAnsi="Times New Roman" w:cs="Times New Roman"/>
                <w:b/>
              </w:rPr>
            </w:pPr>
          </w:p>
        </w:tc>
        <w:tc>
          <w:tcPr>
            <w:tcW w:w="1481" w:type="dxa"/>
          </w:tcPr>
          <w:p w:rsidR="00C1352C" w:rsidRPr="00DD61EB" w:rsidRDefault="00C1352C" w:rsidP="00243BA4">
            <w:pPr>
              <w:spacing w:line="276" w:lineRule="auto"/>
              <w:jc w:val="both"/>
              <w:rPr>
                <w:rFonts w:ascii="Times New Roman" w:hAnsi="Times New Roman" w:cs="Times New Roman"/>
                <w:b/>
              </w:rPr>
            </w:pPr>
          </w:p>
        </w:tc>
        <w:tc>
          <w:tcPr>
            <w:tcW w:w="1519" w:type="dxa"/>
          </w:tcPr>
          <w:p w:rsidR="00C1352C" w:rsidRPr="00DD61EB" w:rsidRDefault="00C1352C" w:rsidP="00243BA4">
            <w:pPr>
              <w:spacing w:line="276" w:lineRule="auto"/>
              <w:jc w:val="both"/>
              <w:rPr>
                <w:rFonts w:ascii="Times New Roman" w:hAnsi="Times New Roman" w:cs="Times New Roman"/>
                <w:b/>
              </w:rPr>
            </w:pPr>
          </w:p>
        </w:tc>
        <w:tc>
          <w:tcPr>
            <w:tcW w:w="1721" w:type="dxa"/>
          </w:tcPr>
          <w:p w:rsidR="00C1352C" w:rsidRPr="00DD61EB" w:rsidRDefault="00C1352C" w:rsidP="00243BA4">
            <w:pPr>
              <w:spacing w:line="276" w:lineRule="auto"/>
              <w:jc w:val="both"/>
              <w:rPr>
                <w:rFonts w:ascii="Times New Roman" w:hAnsi="Times New Roman" w:cs="Times New Roman"/>
                <w:b/>
              </w:rPr>
            </w:pPr>
          </w:p>
        </w:tc>
        <w:tc>
          <w:tcPr>
            <w:tcW w:w="1800" w:type="dxa"/>
          </w:tcPr>
          <w:p w:rsidR="00C1352C" w:rsidRPr="00DD61EB" w:rsidRDefault="00C1352C" w:rsidP="00243BA4">
            <w:pPr>
              <w:spacing w:line="276" w:lineRule="auto"/>
              <w:jc w:val="both"/>
              <w:rPr>
                <w:rFonts w:ascii="Times New Roman" w:hAnsi="Times New Roman" w:cs="Times New Roman"/>
                <w:b/>
              </w:rPr>
            </w:pPr>
          </w:p>
        </w:tc>
      </w:tr>
    </w:tbl>
    <w:p w:rsidR="006B72EA" w:rsidRPr="00E37368" w:rsidRDefault="006B72EA" w:rsidP="00E37368">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50"/>
        <w:gridCol w:w="1530"/>
        <w:gridCol w:w="1557"/>
        <w:gridCol w:w="1741"/>
        <w:gridCol w:w="1742"/>
      </w:tblGrid>
      <w:tr w:rsidR="00C1352C" w:rsidRPr="00DD61EB" w:rsidTr="00243BA4">
        <w:tc>
          <w:tcPr>
            <w:tcW w:w="9720" w:type="dxa"/>
            <w:gridSpan w:val="5"/>
            <w:shd w:val="clear" w:color="auto" w:fill="F7CAAC" w:themeFill="accent2" w:themeFillTint="66"/>
          </w:tcPr>
          <w:p w:rsidR="00C1352C" w:rsidRPr="00DD61EB" w:rsidRDefault="00C1352C" w:rsidP="00243BA4">
            <w:pPr>
              <w:spacing w:line="276" w:lineRule="auto"/>
              <w:jc w:val="both"/>
              <w:rPr>
                <w:rFonts w:ascii="Times New Roman" w:eastAsia="Times New Roman" w:hAnsi="Times New Roman" w:cs="Times New Roman"/>
                <w:b/>
                <w:bCs/>
                <w:lang w:val="sq-AL"/>
              </w:rPr>
            </w:pPr>
            <w:r w:rsidRPr="00DD61EB">
              <w:rPr>
                <w:rFonts w:ascii="Times New Roman" w:eastAsia="Times New Roman" w:hAnsi="Times New Roman" w:cs="Times New Roman"/>
                <w:b/>
                <w:lang w:val="sq-AL"/>
              </w:rPr>
              <w:t>Standardi V.3</w:t>
            </w:r>
          </w:p>
          <w:p w:rsidR="00C1352C" w:rsidRPr="00DD61EB" w:rsidRDefault="00A33C75" w:rsidP="00243BA4">
            <w:pPr>
              <w:spacing w:line="276" w:lineRule="auto"/>
              <w:jc w:val="both"/>
              <w:rPr>
                <w:rFonts w:ascii="Times New Roman" w:hAnsi="Times New Roman" w:cs="Times New Roman"/>
                <w:b/>
              </w:rPr>
            </w:pPr>
            <w:r w:rsidRPr="00A33C75">
              <w:rPr>
                <w:rFonts w:ascii="Times New Roman" w:eastAsia="Times New Roman" w:hAnsi="Times New Roman" w:cs="Times New Roman"/>
                <w:b/>
                <w:bCs/>
                <w:lang w:val="sq-AL"/>
              </w:rPr>
              <w:t>Institucioni informon studentët në mënyrë të vazhdueshme dhe të detajuar, në lidhje me programet e studimeve.</w:t>
            </w:r>
          </w:p>
        </w:tc>
      </w:tr>
      <w:tr w:rsidR="00C1352C" w:rsidRPr="00DD61EB" w:rsidTr="00C626EA">
        <w:trPr>
          <w:trHeight w:val="395"/>
        </w:trPr>
        <w:tc>
          <w:tcPr>
            <w:tcW w:w="3150" w:type="dxa"/>
            <w:shd w:val="clear" w:color="auto" w:fill="C5E0B3" w:themeFill="accent6" w:themeFillTint="66"/>
          </w:tcPr>
          <w:p w:rsidR="00C1352C" w:rsidRPr="00DD61EB" w:rsidRDefault="00C1352C" w:rsidP="00243BA4">
            <w:pPr>
              <w:spacing w:line="276" w:lineRule="auto"/>
              <w:jc w:val="both"/>
              <w:rPr>
                <w:rFonts w:ascii="Times New Roman" w:eastAsia="Times New Roman" w:hAnsi="Times New Roman" w:cs="Times New Roman"/>
                <w:b/>
                <w:bCs/>
                <w:lang w:val="sq-AL"/>
              </w:rPr>
            </w:pPr>
            <w:r w:rsidRPr="00DD61EB">
              <w:rPr>
                <w:rFonts w:ascii="Times New Roman" w:eastAsia="Times New Roman" w:hAnsi="Times New Roman" w:cs="Times New Roman"/>
                <w:b/>
                <w:bCs/>
                <w:lang w:val="sq-AL"/>
              </w:rPr>
              <w:t>Kriteret</w:t>
            </w:r>
          </w:p>
        </w:tc>
        <w:tc>
          <w:tcPr>
            <w:tcW w:w="6570" w:type="dxa"/>
            <w:gridSpan w:val="4"/>
            <w:shd w:val="clear" w:color="auto" w:fill="C5E0B3" w:themeFill="accent6" w:themeFillTint="66"/>
          </w:tcPr>
          <w:p w:rsidR="00C1352C" w:rsidRPr="00DD61EB" w:rsidRDefault="00C1352C" w:rsidP="00CB1EE2">
            <w:pPr>
              <w:spacing w:line="276" w:lineRule="auto"/>
              <w:jc w:val="center"/>
              <w:rPr>
                <w:rFonts w:ascii="Times New Roman" w:eastAsia="Times New Roman" w:hAnsi="Times New Roman" w:cs="Times New Roman"/>
                <w:b/>
                <w:bCs/>
                <w:lang w:val="sq-AL"/>
              </w:rPr>
            </w:pPr>
            <w:r w:rsidRPr="00DD61EB">
              <w:rPr>
                <w:rFonts w:ascii="Times New Roman" w:eastAsia="Times New Roman" w:hAnsi="Times New Roman" w:cs="Times New Roman"/>
                <w:b/>
                <w:bCs/>
                <w:lang w:val="sq-AL"/>
              </w:rPr>
              <w:t>Vlerësimi i ekspertëve</w:t>
            </w:r>
          </w:p>
        </w:tc>
      </w:tr>
      <w:tr w:rsidR="00232138" w:rsidRPr="00DD61EB" w:rsidTr="00C626EA">
        <w:tc>
          <w:tcPr>
            <w:tcW w:w="3150" w:type="dxa"/>
          </w:tcPr>
          <w:p w:rsidR="00232138" w:rsidRPr="00A33C75" w:rsidRDefault="00A33C75" w:rsidP="00CB1EE2">
            <w:pPr>
              <w:spacing w:line="276" w:lineRule="auto"/>
              <w:rPr>
                <w:rFonts w:ascii="Times New Roman" w:hAnsi="Times New Roman" w:cs="Times New Roman"/>
                <w:sz w:val="20"/>
                <w:szCs w:val="20"/>
              </w:rPr>
            </w:pPr>
            <w:r w:rsidRPr="00A33C75">
              <w:rPr>
                <w:rFonts w:ascii="Times New Roman" w:hAnsi="Times New Roman" w:cs="Times New Roman"/>
                <w:b/>
                <w:sz w:val="20"/>
                <w:szCs w:val="20"/>
              </w:rPr>
              <w:t>Kriteri 1:</w:t>
            </w:r>
            <w:r w:rsidRPr="00A33C75">
              <w:rPr>
                <w:rFonts w:ascii="Times New Roman" w:hAnsi="Times New Roman" w:cs="Times New Roman"/>
                <w:sz w:val="20"/>
                <w:szCs w:val="20"/>
              </w:rPr>
              <w:t xml:space="preserve"> Studenti informohet në mënyrë të detajuar për programin e studimit, afatin e përfundim</w:t>
            </w:r>
            <w:r w:rsidR="00CB1EE2">
              <w:rPr>
                <w:rFonts w:ascii="Times New Roman" w:hAnsi="Times New Roman" w:cs="Times New Roman"/>
                <w:sz w:val="20"/>
                <w:szCs w:val="20"/>
              </w:rPr>
              <w:t>it dhe organizimin e programit.</w:t>
            </w: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A33C75" w:rsidRPr="00DD61EB" w:rsidTr="00C626EA">
        <w:tc>
          <w:tcPr>
            <w:tcW w:w="3150" w:type="dxa"/>
          </w:tcPr>
          <w:p w:rsidR="00A33C75" w:rsidRPr="00CB1EE2" w:rsidRDefault="00A33C75" w:rsidP="00A33C75">
            <w:pPr>
              <w:spacing w:line="276" w:lineRule="auto"/>
              <w:rPr>
                <w:rFonts w:ascii="Times New Roman" w:hAnsi="Times New Roman" w:cs="Times New Roman"/>
                <w:sz w:val="20"/>
                <w:szCs w:val="20"/>
              </w:rPr>
            </w:pPr>
            <w:r w:rsidRPr="00A33C75">
              <w:rPr>
                <w:rFonts w:ascii="Times New Roman" w:hAnsi="Times New Roman" w:cs="Times New Roman"/>
                <w:b/>
                <w:sz w:val="20"/>
                <w:szCs w:val="20"/>
              </w:rPr>
              <w:t>Kriteri 2:</w:t>
            </w:r>
            <w:r w:rsidRPr="00A33C75">
              <w:rPr>
                <w:rFonts w:ascii="Times New Roman" w:hAnsi="Times New Roman" w:cs="Times New Roman"/>
                <w:sz w:val="20"/>
                <w:szCs w:val="20"/>
              </w:rPr>
              <w:t xml:space="preserve"> Studenti informohet nga njësia përgjegjës</w:t>
            </w:r>
            <w:r w:rsidR="00CB1EE2">
              <w:rPr>
                <w:rFonts w:ascii="Times New Roman" w:hAnsi="Times New Roman" w:cs="Times New Roman"/>
                <w:sz w:val="20"/>
                <w:szCs w:val="20"/>
              </w:rPr>
              <w:t xml:space="preserve">e për rezultatet e vlerësimit. </w:t>
            </w:r>
          </w:p>
        </w:tc>
        <w:tc>
          <w:tcPr>
            <w:tcW w:w="6570" w:type="dxa"/>
            <w:gridSpan w:val="4"/>
          </w:tcPr>
          <w:p w:rsidR="00A33C75" w:rsidRPr="00DD61EB" w:rsidRDefault="00A33C75" w:rsidP="00243BA4">
            <w:pPr>
              <w:spacing w:line="276" w:lineRule="auto"/>
              <w:jc w:val="both"/>
              <w:rPr>
                <w:rFonts w:ascii="Times New Roman" w:hAnsi="Times New Roman" w:cs="Times New Roman"/>
                <w:b/>
              </w:rPr>
            </w:pPr>
          </w:p>
        </w:tc>
      </w:tr>
      <w:tr w:rsidR="00C1352C" w:rsidRPr="00DD61EB" w:rsidTr="00C626EA">
        <w:trPr>
          <w:trHeight w:val="315"/>
        </w:trPr>
        <w:tc>
          <w:tcPr>
            <w:tcW w:w="3150" w:type="dxa"/>
            <w:vMerge w:val="restart"/>
            <w:shd w:val="clear" w:color="auto" w:fill="F7CAAC" w:themeFill="accent2" w:themeFillTint="66"/>
          </w:tcPr>
          <w:p w:rsidR="00C1352C" w:rsidRPr="00DD61EB" w:rsidRDefault="00C1352C" w:rsidP="00243BA4">
            <w:pPr>
              <w:spacing w:line="276" w:lineRule="auto"/>
              <w:rPr>
                <w:rFonts w:ascii="Times New Roman" w:hAnsi="Times New Roman" w:cs="Times New Roman"/>
                <w:b/>
              </w:rPr>
            </w:pPr>
            <w:r w:rsidRPr="00DD61EB">
              <w:rPr>
                <w:rFonts w:ascii="Times New Roman" w:hAnsi="Times New Roman" w:cs="Times New Roman"/>
                <w:b/>
              </w:rPr>
              <w:t>Shkalla e përmbushjes së standardit</w:t>
            </w:r>
          </w:p>
        </w:tc>
        <w:tc>
          <w:tcPr>
            <w:tcW w:w="1530" w:type="dxa"/>
            <w:shd w:val="clear" w:color="auto" w:fill="FF00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Nuk përmbushet</w:t>
            </w:r>
          </w:p>
        </w:tc>
        <w:tc>
          <w:tcPr>
            <w:tcW w:w="1557" w:type="dxa"/>
            <w:shd w:val="clear" w:color="auto" w:fill="FF66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pjesërisht</w:t>
            </w:r>
          </w:p>
        </w:tc>
        <w:tc>
          <w:tcPr>
            <w:tcW w:w="1741" w:type="dxa"/>
            <w:shd w:val="clear" w:color="auto" w:fill="CCCC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krye</w:t>
            </w:r>
            <w:r w:rsidRPr="00DD61EB">
              <w:rPr>
                <w:rFonts w:ascii="Times New Roman" w:hAnsi="Times New Roman" w:cs="Times New Roman"/>
                <w:b/>
                <w:shd w:val="clear" w:color="auto" w:fill="CCCC00"/>
              </w:rPr>
              <w:t>s</w:t>
            </w:r>
            <w:r w:rsidRPr="00DD61EB">
              <w:rPr>
                <w:rFonts w:ascii="Times New Roman" w:hAnsi="Times New Roman" w:cs="Times New Roman"/>
                <w:b/>
              </w:rPr>
              <w:t>isht</w:t>
            </w:r>
          </w:p>
        </w:tc>
        <w:tc>
          <w:tcPr>
            <w:tcW w:w="1742" w:type="dxa"/>
            <w:shd w:val="clear" w:color="auto" w:fill="92D05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plotësisht</w:t>
            </w:r>
          </w:p>
        </w:tc>
      </w:tr>
      <w:tr w:rsidR="00C1352C" w:rsidRPr="00DD61EB" w:rsidTr="00C626EA">
        <w:trPr>
          <w:trHeight w:val="315"/>
        </w:trPr>
        <w:tc>
          <w:tcPr>
            <w:tcW w:w="3150" w:type="dxa"/>
            <w:vMerge/>
            <w:shd w:val="clear" w:color="auto" w:fill="F7CAAC" w:themeFill="accent2" w:themeFillTint="66"/>
          </w:tcPr>
          <w:p w:rsidR="00C1352C" w:rsidRPr="00DD61EB" w:rsidRDefault="00C1352C" w:rsidP="00243BA4">
            <w:pPr>
              <w:spacing w:line="276" w:lineRule="auto"/>
              <w:rPr>
                <w:rFonts w:ascii="Times New Roman" w:hAnsi="Times New Roman" w:cs="Times New Roman"/>
                <w:b/>
              </w:rPr>
            </w:pPr>
          </w:p>
        </w:tc>
        <w:tc>
          <w:tcPr>
            <w:tcW w:w="1530" w:type="dxa"/>
          </w:tcPr>
          <w:p w:rsidR="00C1352C" w:rsidRPr="00DD61EB" w:rsidRDefault="00C1352C" w:rsidP="00243BA4">
            <w:pPr>
              <w:spacing w:line="276" w:lineRule="auto"/>
              <w:jc w:val="both"/>
              <w:rPr>
                <w:rFonts w:ascii="Times New Roman" w:hAnsi="Times New Roman" w:cs="Times New Roman"/>
                <w:b/>
              </w:rPr>
            </w:pPr>
          </w:p>
        </w:tc>
        <w:tc>
          <w:tcPr>
            <w:tcW w:w="1557" w:type="dxa"/>
          </w:tcPr>
          <w:p w:rsidR="00C1352C" w:rsidRPr="00DD61EB" w:rsidRDefault="00C1352C" w:rsidP="00243BA4">
            <w:pPr>
              <w:spacing w:line="276" w:lineRule="auto"/>
              <w:jc w:val="both"/>
              <w:rPr>
                <w:rFonts w:ascii="Times New Roman" w:hAnsi="Times New Roman" w:cs="Times New Roman"/>
                <w:b/>
              </w:rPr>
            </w:pPr>
          </w:p>
        </w:tc>
        <w:tc>
          <w:tcPr>
            <w:tcW w:w="1741" w:type="dxa"/>
          </w:tcPr>
          <w:p w:rsidR="00C1352C" w:rsidRPr="00DD61EB" w:rsidRDefault="00C1352C" w:rsidP="00243BA4">
            <w:pPr>
              <w:spacing w:line="276" w:lineRule="auto"/>
              <w:jc w:val="both"/>
              <w:rPr>
                <w:rFonts w:ascii="Times New Roman" w:hAnsi="Times New Roman" w:cs="Times New Roman"/>
                <w:b/>
              </w:rPr>
            </w:pPr>
          </w:p>
        </w:tc>
        <w:tc>
          <w:tcPr>
            <w:tcW w:w="1742" w:type="dxa"/>
          </w:tcPr>
          <w:p w:rsidR="00C1352C" w:rsidRPr="00DD61EB" w:rsidRDefault="00C1352C" w:rsidP="00243BA4">
            <w:pPr>
              <w:spacing w:line="276" w:lineRule="auto"/>
              <w:jc w:val="both"/>
              <w:rPr>
                <w:rFonts w:ascii="Times New Roman" w:hAnsi="Times New Roman" w:cs="Times New Roman"/>
                <w:b/>
              </w:rPr>
            </w:pPr>
          </w:p>
        </w:tc>
      </w:tr>
    </w:tbl>
    <w:p w:rsidR="002D4635" w:rsidRPr="00CB1EE2" w:rsidRDefault="002D4635" w:rsidP="00CB1EE2">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50"/>
        <w:gridCol w:w="1530"/>
        <w:gridCol w:w="1620"/>
        <w:gridCol w:w="1700"/>
        <w:gridCol w:w="1720"/>
      </w:tblGrid>
      <w:tr w:rsidR="00C1352C" w:rsidRPr="00DD61EB" w:rsidTr="00243BA4">
        <w:tc>
          <w:tcPr>
            <w:tcW w:w="9720" w:type="dxa"/>
            <w:gridSpan w:val="5"/>
            <w:shd w:val="clear" w:color="auto" w:fill="F7CAAC" w:themeFill="accent2" w:themeFillTint="66"/>
          </w:tcPr>
          <w:p w:rsidR="00C1352C" w:rsidRPr="00DD61EB" w:rsidRDefault="00C1352C" w:rsidP="00243BA4">
            <w:pPr>
              <w:ind w:left="1843" w:hanging="1843"/>
              <w:jc w:val="both"/>
              <w:rPr>
                <w:rFonts w:ascii="Times New Roman" w:eastAsia="Times New Roman" w:hAnsi="Times New Roman" w:cs="Times New Roman"/>
                <w:b/>
                <w:lang w:val="sq-AL"/>
              </w:rPr>
            </w:pPr>
            <w:r w:rsidRPr="00DD61EB">
              <w:rPr>
                <w:rFonts w:ascii="Times New Roman" w:eastAsia="Times New Roman" w:hAnsi="Times New Roman" w:cs="Times New Roman"/>
                <w:b/>
                <w:lang w:val="sq-AL"/>
              </w:rPr>
              <w:t xml:space="preserve">Standardi V.4  </w:t>
            </w:r>
          </w:p>
          <w:p w:rsidR="00C1352C" w:rsidRPr="00DD61EB" w:rsidRDefault="00A33C75" w:rsidP="00243BA4">
            <w:pPr>
              <w:jc w:val="both"/>
              <w:rPr>
                <w:rFonts w:ascii="Times New Roman" w:hAnsi="Times New Roman" w:cs="Times New Roman"/>
                <w:b/>
                <w:lang w:val="sq-AL"/>
              </w:rPr>
            </w:pPr>
            <w:r w:rsidRPr="00A33C75">
              <w:rPr>
                <w:rFonts w:ascii="Times New Roman" w:eastAsia="Times New Roman" w:hAnsi="Times New Roman" w:cs="Times New Roman"/>
                <w:b/>
                <w:bCs/>
                <w:lang w:val="sq-AL"/>
              </w:rPr>
              <w:t>Studenti ka të gjitha kushtet e nevojshme për të realizuar programin e studimit.</w:t>
            </w:r>
          </w:p>
        </w:tc>
      </w:tr>
      <w:tr w:rsidR="00C1352C" w:rsidRPr="00DD61EB" w:rsidTr="00C626EA">
        <w:trPr>
          <w:trHeight w:val="386"/>
        </w:trPr>
        <w:tc>
          <w:tcPr>
            <w:tcW w:w="3150" w:type="dxa"/>
            <w:shd w:val="clear" w:color="auto" w:fill="C5E0B3" w:themeFill="accent6" w:themeFillTint="66"/>
          </w:tcPr>
          <w:p w:rsidR="00C1352C" w:rsidRPr="00DD61EB" w:rsidRDefault="00C1352C" w:rsidP="00243BA4">
            <w:pPr>
              <w:spacing w:line="276" w:lineRule="auto"/>
              <w:jc w:val="both"/>
              <w:rPr>
                <w:rFonts w:ascii="Times New Roman" w:eastAsia="Times New Roman" w:hAnsi="Times New Roman" w:cs="Times New Roman"/>
                <w:b/>
                <w:bCs/>
                <w:lang w:val="sq-AL"/>
              </w:rPr>
            </w:pPr>
            <w:r w:rsidRPr="00DD61EB">
              <w:rPr>
                <w:rFonts w:ascii="Times New Roman" w:eastAsia="Times New Roman" w:hAnsi="Times New Roman" w:cs="Times New Roman"/>
                <w:b/>
                <w:bCs/>
                <w:lang w:val="sq-AL"/>
              </w:rPr>
              <w:t>Kriteret</w:t>
            </w:r>
          </w:p>
        </w:tc>
        <w:tc>
          <w:tcPr>
            <w:tcW w:w="6570" w:type="dxa"/>
            <w:gridSpan w:val="4"/>
            <w:shd w:val="clear" w:color="auto" w:fill="C5E0B3" w:themeFill="accent6" w:themeFillTint="66"/>
          </w:tcPr>
          <w:p w:rsidR="00C1352C" w:rsidRPr="00DD61EB" w:rsidRDefault="00C1352C" w:rsidP="00CB1EE2">
            <w:pPr>
              <w:spacing w:line="276" w:lineRule="auto"/>
              <w:jc w:val="center"/>
              <w:rPr>
                <w:rFonts w:ascii="Times New Roman" w:eastAsia="Times New Roman" w:hAnsi="Times New Roman" w:cs="Times New Roman"/>
                <w:b/>
                <w:bCs/>
                <w:lang w:val="sq-AL"/>
              </w:rPr>
            </w:pPr>
            <w:r w:rsidRPr="00DD61EB">
              <w:rPr>
                <w:rFonts w:ascii="Times New Roman" w:eastAsia="Times New Roman" w:hAnsi="Times New Roman" w:cs="Times New Roman"/>
                <w:b/>
                <w:bCs/>
                <w:lang w:val="sq-AL"/>
              </w:rPr>
              <w:t>Vlerësimi i ekspertëve</w:t>
            </w:r>
          </w:p>
        </w:tc>
      </w:tr>
      <w:tr w:rsidR="00232138" w:rsidRPr="00DD61EB" w:rsidTr="00C626EA">
        <w:tc>
          <w:tcPr>
            <w:tcW w:w="3150" w:type="dxa"/>
          </w:tcPr>
          <w:p w:rsidR="00232138" w:rsidRPr="00A33C75" w:rsidRDefault="00A33C75" w:rsidP="00CB1EE2">
            <w:pPr>
              <w:spacing w:line="276" w:lineRule="auto"/>
              <w:rPr>
                <w:rFonts w:ascii="Times New Roman" w:hAnsi="Times New Roman" w:cs="Times New Roman"/>
                <w:sz w:val="20"/>
                <w:szCs w:val="20"/>
              </w:rPr>
            </w:pPr>
            <w:r w:rsidRPr="00A33C75">
              <w:rPr>
                <w:rFonts w:ascii="Times New Roman" w:hAnsi="Times New Roman" w:cs="Times New Roman"/>
                <w:b/>
                <w:sz w:val="20"/>
                <w:szCs w:val="20"/>
              </w:rPr>
              <w:t>Kriteri 1:</w:t>
            </w:r>
            <w:r w:rsidRPr="00A33C75">
              <w:rPr>
                <w:rFonts w:ascii="Times New Roman" w:hAnsi="Times New Roman" w:cs="Times New Roman"/>
                <w:sz w:val="20"/>
                <w:szCs w:val="20"/>
              </w:rPr>
              <w:t xml:space="preserve"> Studenti i pranuar në programin e studimeve specializuese afatgjata ka kushtet e nevojshme për të realizuar programin e studimit me karakter akademik e klinik.</w:t>
            </w: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C626EA">
        <w:tc>
          <w:tcPr>
            <w:tcW w:w="3150" w:type="dxa"/>
          </w:tcPr>
          <w:p w:rsidR="00232138" w:rsidRPr="00A33C75" w:rsidRDefault="00A33C75" w:rsidP="00CB1EE2">
            <w:pPr>
              <w:spacing w:line="276" w:lineRule="auto"/>
              <w:rPr>
                <w:rFonts w:ascii="Times New Roman" w:hAnsi="Times New Roman" w:cs="Times New Roman"/>
                <w:sz w:val="20"/>
                <w:szCs w:val="20"/>
              </w:rPr>
            </w:pPr>
            <w:r w:rsidRPr="00A33C75">
              <w:rPr>
                <w:rFonts w:ascii="Times New Roman" w:hAnsi="Times New Roman" w:cs="Times New Roman"/>
                <w:b/>
                <w:sz w:val="20"/>
                <w:szCs w:val="20"/>
              </w:rPr>
              <w:t>Kriteri 2:</w:t>
            </w:r>
            <w:r w:rsidRPr="00A33C75">
              <w:rPr>
                <w:rFonts w:ascii="Times New Roman" w:hAnsi="Times New Roman" w:cs="Times New Roman"/>
                <w:sz w:val="20"/>
                <w:szCs w:val="20"/>
              </w:rPr>
              <w:t xml:space="preserve"> Programi i studimeve specializuese afatgjata siguron harmonizim të synimeve të studentit në fushën klinike/diagnostike dhe kërkimore-shkencore dhe, në përfundim të tij, edhe të mundësisë për kar</w:t>
            </w:r>
            <w:r w:rsidR="00CB1EE2">
              <w:rPr>
                <w:rFonts w:ascii="Times New Roman" w:hAnsi="Times New Roman" w:cs="Times New Roman"/>
                <w:sz w:val="20"/>
                <w:szCs w:val="20"/>
              </w:rPr>
              <w:t>rierë profesionale ose punësim.</w:t>
            </w: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C626EA">
        <w:tc>
          <w:tcPr>
            <w:tcW w:w="3150" w:type="dxa"/>
          </w:tcPr>
          <w:p w:rsidR="00232138" w:rsidRPr="00A33C75" w:rsidRDefault="00A33C75" w:rsidP="00CB1EE2">
            <w:pPr>
              <w:spacing w:line="276" w:lineRule="auto"/>
              <w:rPr>
                <w:rFonts w:ascii="Times New Roman" w:hAnsi="Times New Roman" w:cs="Times New Roman"/>
                <w:sz w:val="20"/>
                <w:szCs w:val="20"/>
              </w:rPr>
            </w:pPr>
            <w:r w:rsidRPr="00A33C75">
              <w:rPr>
                <w:rFonts w:ascii="Times New Roman" w:hAnsi="Times New Roman" w:cs="Times New Roman"/>
                <w:b/>
                <w:sz w:val="20"/>
                <w:szCs w:val="20"/>
              </w:rPr>
              <w:t>Kriteri 3:</w:t>
            </w:r>
            <w:r w:rsidRPr="00A33C75">
              <w:rPr>
                <w:rFonts w:ascii="Times New Roman" w:hAnsi="Times New Roman" w:cs="Times New Roman"/>
                <w:sz w:val="20"/>
                <w:szCs w:val="20"/>
              </w:rPr>
              <w:t xml:space="preserve"> Studenti që ndjek programet specializuese afatgjata të studimit ka në dispozicion bibliotekë shkencore të pasur me botime në letër dhe në formë elektronike si dhe in</w:t>
            </w:r>
            <w:r w:rsidR="00CB1EE2">
              <w:rPr>
                <w:rFonts w:ascii="Times New Roman" w:hAnsi="Times New Roman" w:cs="Times New Roman"/>
                <w:sz w:val="20"/>
                <w:szCs w:val="20"/>
              </w:rPr>
              <w:t>frastrukturë të plotë të IT-së.</w:t>
            </w: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C626EA">
        <w:tc>
          <w:tcPr>
            <w:tcW w:w="3150" w:type="dxa"/>
          </w:tcPr>
          <w:p w:rsidR="00232138" w:rsidRPr="00A33C75" w:rsidRDefault="00A33C75" w:rsidP="00CB1EE2">
            <w:pPr>
              <w:spacing w:line="276" w:lineRule="auto"/>
              <w:rPr>
                <w:rFonts w:ascii="Times New Roman" w:hAnsi="Times New Roman" w:cs="Times New Roman"/>
                <w:sz w:val="20"/>
                <w:szCs w:val="20"/>
              </w:rPr>
            </w:pPr>
            <w:r w:rsidRPr="00A33C75">
              <w:rPr>
                <w:rFonts w:ascii="Times New Roman" w:hAnsi="Times New Roman" w:cs="Times New Roman"/>
                <w:b/>
                <w:sz w:val="20"/>
                <w:szCs w:val="20"/>
              </w:rPr>
              <w:t>Kriteri 4:</w:t>
            </w:r>
            <w:r w:rsidRPr="00A33C75">
              <w:rPr>
                <w:rFonts w:ascii="Times New Roman" w:hAnsi="Times New Roman" w:cs="Times New Roman"/>
                <w:sz w:val="20"/>
                <w:szCs w:val="20"/>
              </w:rPr>
              <w:t xml:space="preserve"> Studenti ka mbështetje teknike të mjaftueshme për zhvillimin e aktivitetit klini</w:t>
            </w:r>
            <w:r w:rsidR="00CB1EE2">
              <w:rPr>
                <w:rFonts w:ascii="Times New Roman" w:hAnsi="Times New Roman" w:cs="Times New Roman"/>
                <w:sz w:val="20"/>
                <w:szCs w:val="20"/>
              </w:rPr>
              <w:t>k dhe kërkimor të lidhur me të.</w:t>
            </w: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C626EA">
        <w:tc>
          <w:tcPr>
            <w:tcW w:w="3150" w:type="dxa"/>
          </w:tcPr>
          <w:p w:rsidR="00232138" w:rsidRPr="00A33C75" w:rsidRDefault="00A33C75" w:rsidP="00CB1EE2">
            <w:pPr>
              <w:spacing w:line="276" w:lineRule="auto"/>
              <w:rPr>
                <w:rFonts w:ascii="Times New Roman" w:hAnsi="Times New Roman" w:cs="Times New Roman"/>
                <w:sz w:val="20"/>
                <w:szCs w:val="20"/>
              </w:rPr>
            </w:pPr>
            <w:r w:rsidRPr="00A33C75">
              <w:rPr>
                <w:rFonts w:ascii="Times New Roman" w:hAnsi="Times New Roman" w:cs="Times New Roman"/>
                <w:b/>
                <w:sz w:val="20"/>
                <w:szCs w:val="20"/>
              </w:rPr>
              <w:t>Kriteri 5:</w:t>
            </w:r>
            <w:r w:rsidRPr="00A33C75">
              <w:rPr>
                <w:rFonts w:ascii="Times New Roman" w:hAnsi="Times New Roman" w:cs="Times New Roman"/>
                <w:sz w:val="20"/>
                <w:szCs w:val="20"/>
              </w:rPr>
              <w:t xml:space="preserve"> Hulumtimet që kanë të përfshira kërkime laboratorike mbështeten me ba</w:t>
            </w:r>
            <w:r w:rsidR="00CB1EE2">
              <w:rPr>
                <w:rFonts w:ascii="Times New Roman" w:hAnsi="Times New Roman" w:cs="Times New Roman"/>
                <w:sz w:val="20"/>
                <w:szCs w:val="20"/>
              </w:rPr>
              <w:t>zë laboratorike të mjaftueshme.</w:t>
            </w: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A33C75" w:rsidRPr="00DD61EB" w:rsidTr="00C626EA">
        <w:tc>
          <w:tcPr>
            <w:tcW w:w="3150" w:type="dxa"/>
          </w:tcPr>
          <w:p w:rsidR="00A33C75" w:rsidRPr="00A33C75" w:rsidRDefault="00A33C75" w:rsidP="00A33C75">
            <w:pPr>
              <w:spacing w:line="276" w:lineRule="auto"/>
              <w:rPr>
                <w:rFonts w:ascii="Times New Roman" w:hAnsi="Times New Roman" w:cs="Times New Roman"/>
                <w:sz w:val="20"/>
                <w:szCs w:val="20"/>
              </w:rPr>
            </w:pPr>
            <w:r w:rsidRPr="00A33C75">
              <w:rPr>
                <w:rFonts w:ascii="Times New Roman" w:hAnsi="Times New Roman" w:cs="Times New Roman"/>
                <w:b/>
                <w:sz w:val="20"/>
                <w:szCs w:val="20"/>
              </w:rPr>
              <w:lastRenderedPageBreak/>
              <w:t>Kriteri 6:</w:t>
            </w:r>
            <w:r w:rsidRPr="00A33C75">
              <w:rPr>
                <w:rFonts w:ascii="Times New Roman" w:hAnsi="Times New Roman" w:cs="Times New Roman"/>
                <w:sz w:val="20"/>
                <w:szCs w:val="20"/>
              </w:rPr>
              <w:t xml:space="preserve"> Studenti është i siguruar gjatë gjithë periudhës së specializimit dhe për të gjitha   aktivitetet   e   parashikuara   në   programin   specializues.   Për   këtë disponohet dokumentacion i mjaftueshëm nga institucioni.  Një kopje e policës së sigurimit i dorëzohet studenti</w:t>
            </w:r>
            <w:r w:rsidR="00CB1EE2">
              <w:rPr>
                <w:rFonts w:ascii="Times New Roman" w:hAnsi="Times New Roman" w:cs="Times New Roman"/>
                <w:sz w:val="20"/>
                <w:szCs w:val="20"/>
              </w:rPr>
              <w:t>t në momentin e lidhjes së saj.</w:t>
            </w:r>
          </w:p>
        </w:tc>
        <w:tc>
          <w:tcPr>
            <w:tcW w:w="6570" w:type="dxa"/>
            <w:gridSpan w:val="4"/>
          </w:tcPr>
          <w:p w:rsidR="00A33C75" w:rsidRPr="00DD61EB" w:rsidRDefault="00A33C75" w:rsidP="00243BA4">
            <w:pPr>
              <w:spacing w:line="276" w:lineRule="auto"/>
              <w:jc w:val="both"/>
              <w:rPr>
                <w:rFonts w:ascii="Times New Roman" w:hAnsi="Times New Roman" w:cs="Times New Roman"/>
                <w:b/>
              </w:rPr>
            </w:pPr>
          </w:p>
        </w:tc>
      </w:tr>
      <w:tr w:rsidR="00A33C75" w:rsidRPr="00DD61EB" w:rsidTr="00C626EA">
        <w:tc>
          <w:tcPr>
            <w:tcW w:w="3150" w:type="dxa"/>
          </w:tcPr>
          <w:p w:rsidR="00A33C75" w:rsidRPr="00A33C75" w:rsidRDefault="00A33C75" w:rsidP="00A33C75">
            <w:pPr>
              <w:spacing w:line="276" w:lineRule="auto"/>
              <w:rPr>
                <w:rFonts w:ascii="Times New Roman" w:hAnsi="Times New Roman" w:cs="Times New Roman"/>
                <w:sz w:val="20"/>
                <w:szCs w:val="20"/>
              </w:rPr>
            </w:pPr>
            <w:r w:rsidRPr="00A33C75">
              <w:rPr>
                <w:rFonts w:ascii="Times New Roman" w:hAnsi="Times New Roman" w:cs="Times New Roman"/>
                <w:b/>
                <w:sz w:val="20"/>
                <w:szCs w:val="20"/>
              </w:rPr>
              <w:t>Kriteri 7:</w:t>
            </w:r>
            <w:r w:rsidRPr="00A33C75">
              <w:rPr>
                <w:rFonts w:ascii="Times New Roman" w:hAnsi="Times New Roman" w:cs="Times New Roman"/>
                <w:sz w:val="20"/>
                <w:szCs w:val="20"/>
              </w:rPr>
              <w:t xml:space="preserve"> Institucioni mban një bazë të dhënash të studentëve të p</w:t>
            </w:r>
            <w:r w:rsidR="00CB1EE2">
              <w:rPr>
                <w:rFonts w:ascii="Times New Roman" w:hAnsi="Times New Roman" w:cs="Times New Roman"/>
                <w:sz w:val="20"/>
                <w:szCs w:val="20"/>
              </w:rPr>
              <w:t>unësuar dhe vendet e punësimit.</w:t>
            </w:r>
          </w:p>
        </w:tc>
        <w:tc>
          <w:tcPr>
            <w:tcW w:w="6570" w:type="dxa"/>
            <w:gridSpan w:val="4"/>
          </w:tcPr>
          <w:p w:rsidR="00A33C75" w:rsidRPr="00DD61EB" w:rsidRDefault="00A33C75" w:rsidP="00243BA4">
            <w:pPr>
              <w:spacing w:line="276" w:lineRule="auto"/>
              <w:jc w:val="both"/>
              <w:rPr>
                <w:rFonts w:ascii="Times New Roman" w:hAnsi="Times New Roman" w:cs="Times New Roman"/>
                <w:b/>
              </w:rPr>
            </w:pPr>
          </w:p>
        </w:tc>
      </w:tr>
      <w:tr w:rsidR="00C1352C" w:rsidRPr="00DD61EB" w:rsidTr="00542147">
        <w:trPr>
          <w:trHeight w:val="315"/>
        </w:trPr>
        <w:tc>
          <w:tcPr>
            <w:tcW w:w="3150" w:type="dxa"/>
            <w:vMerge w:val="restart"/>
            <w:shd w:val="clear" w:color="auto" w:fill="F7CAAC" w:themeFill="accent2" w:themeFillTint="66"/>
          </w:tcPr>
          <w:p w:rsidR="00C1352C" w:rsidRPr="00DD61EB" w:rsidRDefault="00C1352C" w:rsidP="00243BA4">
            <w:pPr>
              <w:spacing w:line="276" w:lineRule="auto"/>
              <w:rPr>
                <w:rFonts w:ascii="Times New Roman" w:hAnsi="Times New Roman" w:cs="Times New Roman"/>
                <w:b/>
              </w:rPr>
            </w:pPr>
            <w:r w:rsidRPr="00DD61EB">
              <w:rPr>
                <w:rFonts w:ascii="Times New Roman" w:hAnsi="Times New Roman" w:cs="Times New Roman"/>
                <w:b/>
              </w:rPr>
              <w:t>Shkalla e përmbushjes së standardit</w:t>
            </w:r>
          </w:p>
        </w:tc>
        <w:tc>
          <w:tcPr>
            <w:tcW w:w="1530" w:type="dxa"/>
            <w:shd w:val="clear" w:color="auto" w:fill="FF00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Nuk përmbushet</w:t>
            </w:r>
          </w:p>
        </w:tc>
        <w:tc>
          <w:tcPr>
            <w:tcW w:w="1620" w:type="dxa"/>
            <w:shd w:val="clear" w:color="auto" w:fill="FF66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pjesërisht</w:t>
            </w:r>
          </w:p>
        </w:tc>
        <w:tc>
          <w:tcPr>
            <w:tcW w:w="1700" w:type="dxa"/>
            <w:shd w:val="clear" w:color="auto" w:fill="CCCC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krye</w:t>
            </w:r>
            <w:r w:rsidRPr="00DD61EB">
              <w:rPr>
                <w:rFonts w:ascii="Times New Roman" w:hAnsi="Times New Roman" w:cs="Times New Roman"/>
                <w:b/>
                <w:shd w:val="clear" w:color="auto" w:fill="CCCC00"/>
              </w:rPr>
              <w:t>s</w:t>
            </w:r>
            <w:r w:rsidRPr="00DD61EB">
              <w:rPr>
                <w:rFonts w:ascii="Times New Roman" w:hAnsi="Times New Roman" w:cs="Times New Roman"/>
                <w:b/>
              </w:rPr>
              <w:t>isht</w:t>
            </w:r>
          </w:p>
        </w:tc>
        <w:tc>
          <w:tcPr>
            <w:tcW w:w="1720" w:type="dxa"/>
            <w:shd w:val="clear" w:color="auto" w:fill="92D05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plotësisht</w:t>
            </w:r>
          </w:p>
        </w:tc>
      </w:tr>
      <w:tr w:rsidR="00C1352C" w:rsidRPr="00DD61EB" w:rsidTr="00542147">
        <w:trPr>
          <w:trHeight w:val="350"/>
        </w:trPr>
        <w:tc>
          <w:tcPr>
            <w:tcW w:w="3150" w:type="dxa"/>
            <w:vMerge/>
            <w:shd w:val="clear" w:color="auto" w:fill="F7CAAC" w:themeFill="accent2" w:themeFillTint="66"/>
          </w:tcPr>
          <w:p w:rsidR="00C1352C" w:rsidRPr="00DD61EB" w:rsidRDefault="00C1352C" w:rsidP="00243BA4">
            <w:pPr>
              <w:spacing w:line="276" w:lineRule="auto"/>
              <w:rPr>
                <w:rFonts w:ascii="Times New Roman" w:hAnsi="Times New Roman" w:cs="Times New Roman"/>
                <w:b/>
              </w:rPr>
            </w:pPr>
          </w:p>
        </w:tc>
        <w:tc>
          <w:tcPr>
            <w:tcW w:w="1530" w:type="dxa"/>
          </w:tcPr>
          <w:p w:rsidR="00C1352C" w:rsidRPr="00DD61EB" w:rsidRDefault="00C1352C" w:rsidP="00243BA4">
            <w:pPr>
              <w:spacing w:line="276" w:lineRule="auto"/>
              <w:jc w:val="both"/>
              <w:rPr>
                <w:rFonts w:ascii="Times New Roman" w:hAnsi="Times New Roman" w:cs="Times New Roman"/>
                <w:b/>
              </w:rPr>
            </w:pPr>
          </w:p>
        </w:tc>
        <w:tc>
          <w:tcPr>
            <w:tcW w:w="1620" w:type="dxa"/>
          </w:tcPr>
          <w:p w:rsidR="00C1352C" w:rsidRPr="00DD61EB" w:rsidRDefault="00C1352C" w:rsidP="00243BA4">
            <w:pPr>
              <w:spacing w:line="276" w:lineRule="auto"/>
              <w:jc w:val="both"/>
              <w:rPr>
                <w:rFonts w:ascii="Times New Roman" w:hAnsi="Times New Roman" w:cs="Times New Roman"/>
                <w:b/>
              </w:rPr>
            </w:pPr>
          </w:p>
        </w:tc>
        <w:tc>
          <w:tcPr>
            <w:tcW w:w="1700" w:type="dxa"/>
          </w:tcPr>
          <w:p w:rsidR="00C1352C" w:rsidRPr="00DD61EB" w:rsidRDefault="00C1352C" w:rsidP="00243BA4">
            <w:pPr>
              <w:spacing w:line="276" w:lineRule="auto"/>
              <w:jc w:val="both"/>
              <w:rPr>
                <w:rFonts w:ascii="Times New Roman" w:hAnsi="Times New Roman" w:cs="Times New Roman"/>
                <w:b/>
              </w:rPr>
            </w:pPr>
          </w:p>
        </w:tc>
        <w:tc>
          <w:tcPr>
            <w:tcW w:w="1720" w:type="dxa"/>
          </w:tcPr>
          <w:p w:rsidR="00C1352C" w:rsidRPr="00DD61EB" w:rsidRDefault="00C1352C" w:rsidP="00243BA4">
            <w:pPr>
              <w:spacing w:line="276" w:lineRule="auto"/>
              <w:jc w:val="both"/>
              <w:rPr>
                <w:rFonts w:ascii="Times New Roman" w:hAnsi="Times New Roman" w:cs="Times New Roman"/>
                <w:b/>
              </w:rPr>
            </w:pPr>
          </w:p>
        </w:tc>
      </w:tr>
    </w:tbl>
    <w:p w:rsidR="00232138" w:rsidRPr="00CB1EE2" w:rsidRDefault="00232138" w:rsidP="00CB1EE2">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60"/>
        <w:gridCol w:w="1520"/>
        <w:gridCol w:w="1620"/>
        <w:gridCol w:w="1710"/>
        <w:gridCol w:w="1710"/>
      </w:tblGrid>
      <w:tr w:rsidR="00C1352C" w:rsidRPr="00DD61EB" w:rsidTr="00243BA4">
        <w:tc>
          <w:tcPr>
            <w:tcW w:w="9720" w:type="dxa"/>
            <w:gridSpan w:val="5"/>
            <w:shd w:val="clear" w:color="auto" w:fill="F7CAAC" w:themeFill="accent2" w:themeFillTint="66"/>
          </w:tcPr>
          <w:p w:rsidR="00C1352C" w:rsidRPr="00DD61EB" w:rsidRDefault="00C1352C" w:rsidP="00243BA4">
            <w:pPr>
              <w:ind w:left="1843" w:hanging="1843"/>
              <w:jc w:val="both"/>
              <w:rPr>
                <w:rFonts w:ascii="Times New Roman" w:eastAsia="Times New Roman" w:hAnsi="Times New Roman" w:cs="Times New Roman"/>
                <w:b/>
                <w:bCs/>
                <w:lang w:val="sq-AL"/>
              </w:rPr>
            </w:pPr>
            <w:r w:rsidRPr="00DD61EB">
              <w:rPr>
                <w:rFonts w:ascii="Times New Roman" w:eastAsia="Times New Roman" w:hAnsi="Times New Roman" w:cs="Times New Roman"/>
                <w:b/>
                <w:bCs/>
                <w:lang w:val="sq-AL"/>
              </w:rPr>
              <w:t xml:space="preserve">Standardi V.5  </w:t>
            </w:r>
          </w:p>
          <w:p w:rsidR="00C1352C" w:rsidRPr="00DD61EB" w:rsidRDefault="00A33C75" w:rsidP="00232138">
            <w:pPr>
              <w:jc w:val="both"/>
              <w:rPr>
                <w:rFonts w:ascii="Times New Roman" w:eastAsia="Times New Roman" w:hAnsi="Times New Roman" w:cs="Times New Roman"/>
                <w:b/>
                <w:bCs/>
                <w:lang w:val="sq-AL"/>
              </w:rPr>
            </w:pPr>
            <w:r w:rsidRPr="00A33C75">
              <w:rPr>
                <w:rFonts w:ascii="Times New Roman" w:eastAsia="Times New Roman" w:hAnsi="Times New Roman" w:cs="Times New Roman"/>
                <w:b/>
                <w:bCs/>
                <w:lang w:val="sq-AL"/>
              </w:rPr>
              <w:t>Institucioni ndjek procedura të qarta për vlerësimin e njohurive të studentëve.</w:t>
            </w:r>
          </w:p>
        </w:tc>
      </w:tr>
      <w:tr w:rsidR="00C1352C" w:rsidRPr="00DD61EB" w:rsidTr="00A03B42">
        <w:trPr>
          <w:trHeight w:val="386"/>
        </w:trPr>
        <w:tc>
          <w:tcPr>
            <w:tcW w:w="3160" w:type="dxa"/>
            <w:shd w:val="clear" w:color="auto" w:fill="C5E0B3" w:themeFill="accent6" w:themeFillTint="66"/>
          </w:tcPr>
          <w:p w:rsidR="00C1352C" w:rsidRPr="00DD61EB" w:rsidRDefault="00C1352C" w:rsidP="00243BA4">
            <w:pPr>
              <w:spacing w:line="276" w:lineRule="auto"/>
              <w:jc w:val="both"/>
              <w:rPr>
                <w:rFonts w:ascii="Times New Roman" w:eastAsia="Times New Roman" w:hAnsi="Times New Roman" w:cs="Times New Roman"/>
                <w:b/>
                <w:bCs/>
                <w:lang w:val="sq-AL"/>
              </w:rPr>
            </w:pPr>
            <w:r w:rsidRPr="00DD61EB">
              <w:rPr>
                <w:rFonts w:ascii="Times New Roman" w:eastAsia="Times New Roman" w:hAnsi="Times New Roman" w:cs="Times New Roman"/>
                <w:b/>
                <w:bCs/>
                <w:lang w:val="sq-AL"/>
              </w:rPr>
              <w:t>Kriteret</w:t>
            </w:r>
          </w:p>
        </w:tc>
        <w:tc>
          <w:tcPr>
            <w:tcW w:w="6560" w:type="dxa"/>
            <w:gridSpan w:val="4"/>
            <w:shd w:val="clear" w:color="auto" w:fill="C5E0B3" w:themeFill="accent6" w:themeFillTint="66"/>
          </w:tcPr>
          <w:p w:rsidR="00C1352C" w:rsidRPr="00DD61EB" w:rsidRDefault="00C1352C" w:rsidP="00CB1EE2">
            <w:pPr>
              <w:spacing w:line="276" w:lineRule="auto"/>
              <w:jc w:val="center"/>
              <w:rPr>
                <w:rFonts w:ascii="Times New Roman" w:eastAsia="Times New Roman" w:hAnsi="Times New Roman" w:cs="Times New Roman"/>
                <w:b/>
                <w:bCs/>
                <w:lang w:val="sq-AL"/>
              </w:rPr>
            </w:pPr>
            <w:r w:rsidRPr="00DD61EB">
              <w:rPr>
                <w:rFonts w:ascii="Times New Roman" w:eastAsia="Times New Roman" w:hAnsi="Times New Roman" w:cs="Times New Roman"/>
                <w:b/>
                <w:bCs/>
                <w:lang w:val="sq-AL"/>
              </w:rPr>
              <w:t>Vlerësimi i ekspertëve</w:t>
            </w:r>
          </w:p>
        </w:tc>
      </w:tr>
      <w:tr w:rsidR="00232138" w:rsidRPr="00DD61EB" w:rsidTr="00A03B42">
        <w:tc>
          <w:tcPr>
            <w:tcW w:w="3160" w:type="dxa"/>
          </w:tcPr>
          <w:p w:rsidR="00232138" w:rsidRPr="00A33C75" w:rsidRDefault="00A33C75" w:rsidP="00CB1EE2">
            <w:pPr>
              <w:spacing w:line="276" w:lineRule="auto"/>
              <w:rPr>
                <w:rFonts w:ascii="Times New Roman" w:hAnsi="Times New Roman" w:cs="Times New Roman"/>
                <w:sz w:val="20"/>
                <w:szCs w:val="20"/>
              </w:rPr>
            </w:pPr>
            <w:r w:rsidRPr="00A33C75">
              <w:rPr>
                <w:rFonts w:ascii="Times New Roman" w:hAnsi="Times New Roman" w:cs="Times New Roman"/>
                <w:b/>
                <w:sz w:val="20"/>
                <w:szCs w:val="20"/>
              </w:rPr>
              <w:t>Kriteri 1:</w:t>
            </w:r>
            <w:r w:rsidRPr="00A33C75">
              <w:rPr>
                <w:rFonts w:ascii="Times New Roman" w:hAnsi="Times New Roman" w:cs="Times New Roman"/>
                <w:sz w:val="20"/>
                <w:szCs w:val="20"/>
              </w:rPr>
              <w:t xml:space="preserve"> Institucioni ndjek procedura të qarta dhe transparente për vlerësimin në vazhdimësi të dijeve të studentit, të përcaktuara dhe të bëra të ditura që në fillim të programit të studimeve në rregullore</w:t>
            </w:r>
            <w:r w:rsidR="00CB1EE2">
              <w:rPr>
                <w:rFonts w:ascii="Times New Roman" w:hAnsi="Times New Roman" w:cs="Times New Roman"/>
                <w:sz w:val="20"/>
                <w:szCs w:val="20"/>
              </w:rPr>
              <w:t>n e specializimit.</w:t>
            </w:r>
          </w:p>
        </w:tc>
        <w:tc>
          <w:tcPr>
            <w:tcW w:w="656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A03B42">
        <w:tc>
          <w:tcPr>
            <w:tcW w:w="3160" w:type="dxa"/>
          </w:tcPr>
          <w:p w:rsidR="00232138" w:rsidRPr="00A33C75" w:rsidRDefault="00A33C75" w:rsidP="00CB1EE2">
            <w:pPr>
              <w:spacing w:line="276" w:lineRule="auto"/>
              <w:rPr>
                <w:rFonts w:ascii="Times New Roman" w:hAnsi="Times New Roman" w:cs="Times New Roman"/>
                <w:sz w:val="20"/>
                <w:szCs w:val="20"/>
              </w:rPr>
            </w:pPr>
            <w:r w:rsidRPr="00A33C75">
              <w:rPr>
                <w:rFonts w:ascii="Times New Roman" w:hAnsi="Times New Roman" w:cs="Times New Roman"/>
                <w:b/>
                <w:sz w:val="20"/>
                <w:szCs w:val="20"/>
              </w:rPr>
              <w:t>Kriteri 2:</w:t>
            </w:r>
            <w:r w:rsidRPr="00A33C75">
              <w:rPr>
                <w:rFonts w:ascii="Times New Roman" w:hAnsi="Times New Roman" w:cs="Times New Roman"/>
                <w:sz w:val="20"/>
                <w:szCs w:val="20"/>
              </w:rPr>
              <w:t xml:space="preserve"> Institucioni   disponon   një   sistem   të   informatizuar   për   kontrollin   dhe vlerësimin e njohurive të marra nga student</w:t>
            </w:r>
            <w:r w:rsidR="00CB1EE2">
              <w:rPr>
                <w:rFonts w:ascii="Times New Roman" w:hAnsi="Times New Roman" w:cs="Times New Roman"/>
                <w:sz w:val="20"/>
                <w:szCs w:val="20"/>
              </w:rPr>
              <w:t>ët gjatë programit të studimit.</w:t>
            </w:r>
          </w:p>
        </w:tc>
        <w:tc>
          <w:tcPr>
            <w:tcW w:w="656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A03B42">
        <w:tc>
          <w:tcPr>
            <w:tcW w:w="3160" w:type="dxa"/>
          </w:tcPr>
          <w:p w:rsidR="00232138" w:rsidRPr="00A33C75" w:rsidRDefault="00A33C75" w:rsidP="00CB1EE2">
            <w:pPr>
              <w:spacing w:line="276" w:lineRule="auto"/>
              <w:rPr>
                <w:rFonts w:ascii="Times New Roman" w:hAnsi="Times New Roman" w:cs="Times New Roman"/>
                <w:sz w:val="20"/>
                <w:szCs w:val="20"/>
              </w:rPr>
            </w:pPr>
            <w:r w:rsidRPr="00A33C75">
              <w:rPr>
                <w:rFonts w:ascii="Times New Roman" w:hAnsi="Times New Roman" w:cs="Times New Roman"/>
                <w:b/>
                <w:sz w:val="20"/>
                <w:szCs w:val="20"/>
              </w:rPr>
              <w:t>Kriteri 3:</w:t>
            </w:r>
            <w:r w:rsidRPr="00A33C75">
              <w:rPr>
                <w:rFonts w:ascii="Times New Roman" w:hAnsi="Times New Roman" w:cs="Times New Roman"/>
                <w:sz w:val="20"/>
                <w:szCs w:val="20"/>
              </w:rPr>
              <w:t xml:space="preserve"> Konkluzionet e vlerësimit në vazhdimësi, janë të qarta dhe transparente, përfshirë pezullimin, zgjatjen ose përjashti</w:t>
            </w:r>
            <w:r w:rsidR="00CB1EE2">
              <w:rPr>
                <w:rFonts w:ascii="Times New Roman" w:hAnsi="Times New Roman" w:cs="Times New Roman"/>
                <w:sz w:val="20"/>
                <w:szCs w:val="20"/>
              </w:rPr>
              <w:t>min nga studimet specializuese.</w:t>
            </w:r>
          </w:p>
        </w:tc>
        <w:tc>
          <w:tcPr>
            <w:tcW w:w="656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A03B42">
        <w:tc>
          <w:tcPr>
            <w:tcW w:w="3160" w:type="dxa"/>
          </w:tcPr>
          <w:p w:rsidR="00232138" w:rsidRPr="00A33C75" w:rsidRDefault="00A33C75" w:rsidP="00CB1EE2">
            <w:pPr>
              <w:spacing w:line="276" w:lineRule="auto"/>
              <w:rPr>
                <w:rFonts w:ascii="Times New Roman" w:hAnsi="Times New Roman" w:cs="Times New Roman"/>
                <w:sz w:val="20"/>
                <w:szCs w:val="20"/>
              </w:rPr>
            </w:pPr>
            <w:r w:rsidRPr="00A33C75">
              <w:rPr>
                <w:rFonts w:ascii="Times New Roman" w:hAnsi="Times New Roman" w:cs="Times New Roman"/>
                <w:b/>
                <w:sz w:val="20"/>
                <w:szCs w:val="20"/>
              </w:rPr>
              <w:t>Kriteri 4:</w:t>
            </w:r>
            <w:r w:rsidRPr="00A33C75">
              <w:rPr>
                <w:rFonts w:ascii="Times New Roman" w:hAnsi="Times New Roman" w:cs="Times New Roman"/>
                <w:sz w:val="20"/>
                <w:szCs w:val="20"/>
              </w:rPr>
              <w:t xml:space="preserve"> Vlerësimi   i   studentëve   bëhet   sipas   lëndëve që   ka   ndjekur speciali</w:t>
            </w:r>
            <w:r w:rsidR="00CB1EE2">
              <w:rPr>
                <w:rFonts w:ascii="Times New Roman" w:hAnsi="Times New Roman" w:cs="Times New Roman"/>
                <w:sz w:val="20"/>
                <w:szCs w:val="20"/>
              </w:rPr>
              <w:t>zanti gjatë atij viti akademik.</w:t>
            </w:r>
          </w:p>
        </w:tc>
        <w:tc>
          <w:tcPr>
            <w:tcW w:w="6560" w:type="dxa"/>
            <w:gridSpan w:val="4"/>
          </w:tcPr>
          <w:p w:rsidR="00232138" w:rsidRPr="00DD61EB" w:rsidRDefault="00232138" w:rsidP="00243BA4">
            <w:pPr>
              <w:spacing w:line="276" w:lineRule="auto"/>
              <w:jc w:val="both"/>
              <w:rPr>
                <w:rFonts w:ascii="Times New Roman" w:hAnsi="Times New Roman" w:cs="Times New Roman"/>
                <w:b/>
              </w:rPr>
            </w:pPr>
          </w:p>
        </w:tc>
      </w:tr>
      <w:tr w:rsidR="00C1352C" w:rsidRPr="00DD61EB" w:rsidTr="00542147">
        <w:trPr>
          <w:trHeight w:val="315"/>
        </w:trPr>
        <w:tc>
          <w:tcPr>
            <w:tcW w:w="3160" w:type="dxa"/>
            <w:vMerge w:val="restart"/>
            <w:shd w:val="clear" w:color="auto" w:fill="F7CAAC" w:themeFill="accent2" w:themeFillTint="66"/>
          </w:tcPr>
          <w:p w:rsidR="00C1352C" w:rsidRPr="00DD61EB" w:rsidRDefault="00C1352C" w:rsidP="00243BA4">
            <w:pPr>
              <w:spacing w:line="276" w:lineRule="auto"/>
              <w:rPr>
                <w:rFonts w:ascii="Times New Roman" w:hAnsi="Times New Roman" w:cs="Times New Roman"/>
                <w:b/>
              </w:rPr>
            </w:pPr>
            <w:r w:rsidRPr="00DD61EB">
              <w:rPr>
                <w:rFonts w:ascii="Times New Roman" w:hAnsi="Times New Roman" w:cs="Times New Roman"/>
                <w:b/>
              </w:rPr>
              <w:t>Shkalla e përmbushjes së standardit</w:t>
            </w:r>
          </w:p>
        </w:tc>
        <w:tc>
          <w:tcPr>
            <w:tcW w:w="1520" w:type="dxa"/>
            <w:shd w:val="clear" w:color="auto" w:fill="FF00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Nuk përmbushet</w:t>
            </w:r>
          </w:p>
        </w:tc>
        <w:tc>
          <w:tcPr>
            <w:tcW w:w="1620" w:type="dxa"/>
            <w:shd w:val="clear" w:color="auto" w:fill="FF66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pjesërisht</w:t>
            </w:r>
          </w:p>
        </w:tc>
        <w:tc>
          <w:tcPr>
            <w:tcW w:w="1710" w:type="dxa"/>
            <w:shd w:val="clear" w:color="auto" w:fill="CCCC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krye</w:t>
            </w:r>
            <w:r w:rsidRPr="00DD61EB">
              <w:rPr>
                <w:rFonts w:ascii="Times New Roman" w:hAnsi="Times New Roman" w:cs="Times New Roman"/>
                <w:b/>
                <w:shd w:val="clear" w:color="auto" w:fill="CCCC00"/>
              </w:rPr>
              <w:t>s</w:t>
            </w:r>
            <w:r w:rsidRPr="00DD61EB">
              <w:rPr>
                <w:rFonts w:ascii="Times New Roman" w:hAnsi="Times New Roman" w:cs="Times New Roman"/>
                <w:b/>
              </w:rPr>
              <w:t>isht</w:t>
            </w:r>
          </w:p>
        </w:tc>
        <w:tc>
          <w:tcPr>
            <w:tcW w:w="1710" w:type="dxa"/>
            <w:shd w:val="clear" w:color="auto" w:fill="92D05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plotësisht</w:t>
            </w:r>
          </w:p>
        </w:tc>
      </w:tr>
      <w:tr w:rsidR="00C1352C" w:rsidRPr="00DD61EB" w:rsidTr="00542147">
        <w:trPr>
          <w:trHeight w:val="260"/>
        </w:trPr>
        <w:tc>
          <w:tcPr>
            <w:tcW w:w="3160" w:type="dxa"/>
            <w:vMerge/>
            <w:shd w:val="clear" w:color="auto" w:fill="F7CAAC" w:themeFill="accent2" w:themeFillTint="66"/>
          </w:tcPr>
          <w:p w:rsidR="00C1352C" w:rsidRPr="00DD61EB" w:rsidRDefault="00C1352C" w:rsidP="00243BA4">
            <w:pPr>
              <w:spacing w:line="276" w:lineRule="auto"/>
              <w:rPr>
                <w:rFonts w:ascii="Times New Roman" w:hAnsi="Times New Roman" w:cs="Times New Roman"/>
                <w:b/>
              </w:rPr>
            </w:pPr>
          </w:p>
        </w:tc>
        <w:tc>
          <w:tcPr>
            <w:tcW w:w="1520" w:type="dxa"/>
          </w:tcPr>
          <w:p w:rsidR="00C1352C" w:rsidRPr="00DD61EB" w:rsidRDefault="00C1352C" w:rsidP="00243BA4">
            <w:pPr>
              <w:spacing w:line="276" w:lineRule="auto"/>
              <w:jc w:val="both"/>
              <w:rPr>
                <w:rFonts w:ascii="Times New Roman" w:hAnsi="Times New Roman" w:cs="Times New Roman"/>
                <w:b/>
              </w:rPr>
            </w:pPr>
          </w:p>
        </w:tc>
        <w:tc>
          <w:tcPr>
            <w:tcW w:w="1620" w:type="dxa"/>
          </w:tcPr>
          <w:p w:rsidR="00C1352C" w:rsidRPr="00DD61EB" w:rsidRDefault="00C1352C" w:rsidP="00243BA4">
            <w:pPr>
              <w:spacing w:line="276" w:lineRule="auto"/>
              <w:jc w:val="both"/>
              <w:rPr>
                <w:rFonts w:ascii="Times New Roman" w:hAnsi="Times New Roman" w:cs="Times New Roman"/>
                <w:b/>
              </w:rPr>
            </w:pPr>
          </w:p>
        </w:tc>
        <w:tc>
          <w:tcPr>
            <w:tcW w:w="1710" w:type="dxa"/>
          </w:tcPr>
          <w:p w:rsidR="00C1352C" w:rsidRPr="00DD61EB" w:rsidRDefault="00C1352C" w:rsidP="00243BA4">
            <w:pPr>
              <w:spacing w:line="276" w:lineRule="auto"/>
              <w:jc w:val="both"/>
              <w:rPr>
                <w:rFonts w:ascii="Times New Roman" w:hAnsi="Times New Roman" w:cs="Times New Roman"/>
                <w:b/>
              </w:rPr>
            </w:pPr>
          </w:p>
        </w:tc>
        <w:tc>
          <w:tcPr>
            <w:tcW w:w="1710" w:type="dxa"/>
          </w:tcPr>
          <w:p w:rsidR="00C1352C" w:rsidRPr="00DD61EB" w:rsidRDefault="00C1352C" w:rsidP="00243BA4">
            <w:pPr>
              <w:spacing w:line="276" w:lineRule="auto"/>
              <w:jc w:val="both"/>
              <w:rPr>
                <w:rFonts w:ascii="Times New Roman" w:hAnsi="Times New Roman" w:cs="Times New Roman"/>
                <w:b/>
              </w:rPr>
            </w:pPr>
          </w:p>
        </w:tc>
      </w:tr>
    </w:tbl>
    <w:p w:rsidR="00FD7FDC" w:rsidRPr="00DD61EB" w:rsidRDefault="00FD7FDC" w:rsidP="00DE0A79">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50"/>
        <w:gridCol w:w="1530"/>
        <w:gridCol w:w="1620"/>
        <w:gridCol w:w="1710"/>
        <w:gridCol w:w="1710"/>
      </w:tblGrid>
      <w:tr w:rsidR="00C1352C" w:rsidRPr="00DD61EB" w:rsidTr="006B72EA">
        <w:trPr>
          <w:trHeight w:val="315"/>
        </w:trPr>
        <w:tc>
          <w:tcPr>
            <w:tcW w:w="3150" w:type="dxa"/>
            <w:vMerge w:val="restart"/>
          </w:tcPr>
          <w:p w:rsidR="00C1352C" w:rsidRPr="00DD61EB" w:rsidRDefault="00C1352C" w:rsidP="00243BA4">
            <w:pPr>
              <w:spacing w:line="276" w:lineRule="auto"/>
              <w:rPr>
                <w:rFonts w:ascii="Times New Roman" w:hAnsi="Times New Roman" w:cs="Times New Roman"/>
                <w:b/>
              </w:rPr>
            </w:pPr>
            <w:r w:rsidRPr="00DD61EB">
              <w:rPr>
                <w:rFonts w:ascii="Times New Roman" w:hAnsi="Times New Roman" w:cs="Times New Roman"/>
                <w:b/>
              </w:rPr>
              <w:t>Shkalla e përmbushjes së standardeve të fushës V</w:t>
            </w:r>
          </w:p>
        </w:tc>
        <w:tc>
          <w:tcPr>
            <w:tcW w:w="1530" w:type="dxa"/>
            <w:shd w:val="clear" w:color="auto" w:fill="FF00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Nuk përmbushet</w:t>
            </w:r>
          </w:p>
        </w:tc>
        <w:tc>
          <w:tcPr>
            <w:tcW w:w="1620" w:type="dxa"/>
            <w:shd w:val="clear" w:color="auto" w:fill="FF66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pjesërisht</w:t>
            </w:r>
          </w:p>
        </w:tc>
        <w:tc>
          <w:tcPr>
            <w:tcW w:w="1710" w:type="dxa"/>
            <w:shd w:val="clear" w:color="auto" w:fill="CCCC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kryesisht</w:t>
            </w:r>
          </w:p>
        </w:tc>
        <w:tc>
          <w:tcPr>
            <w:tcW w:w="1710" w:type="dxa"/>
            <w:shd w:val="clear" w:color="auto" w:fill="92D05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plotësisht</w:t>
            </w:r>
          </w:p>
        </w:tc>
      </w:tr>
      <w:tr w:rsidR="00C1352C" w:rsidRPr="00DD61EB" w:rsidTr="006B72EA">
        <w:trPr>
          <w:trHeight w:val="315"/>
        </w:trPr>
        <w:tc>
          <w:tcPr>
            <w:tcW w:w="3150" w:type="dxa"/>
            <w:vMerge/>
          </w:tcPr>
          <w:p w:rsidR="00C1352C" w:rsidRPr="00DD61EB" w:rsidRDefault="00C1352C" w:rsidP="00243BA4">
            <w:pPr>
              <w:spacing w:line="276" w:lineRule="auto"/>
              <w:rPr>
                <w:rFonts w:ascii="Times New Roman" w:hAnsi="Times New Roman" w:cs="Times New Roman"/>
                <w:b/>
              </w:rPr>
            </w:pPr>
          </w:p>
        </w:tc>
        <w:tc>
          <w:tcPr>
            <w:tcW w:w="1530" w:type="dxa"/>
          </w:tcPr>
          <w:p w:rsidR="00C1352C" w:rsidRPr="00DD61EB" w:rsidRDefault="00C1352C" w:rsidP="00243BA4">
            <w:pPr>
              <w:spacing w:line="276" w:lineRule="auto"/>
              <w:jc w:val="both"/>
              <w:rPr>
                <w:rFonts w:ascii="Times New Roman" w:hAnsi="Times New Roman" w:cs="Times New Roman"/>
                <w:b/>
              </w:rPr>
            </w:pPr>
          </w:p>
        </w:tc>
        <w:tc>
          <w:tcPr>
            <w:tcW w:w="1620" w:type="dxa"/>
          </w:tcPr>
          <w:p w:rsidR="00C1352C" w:rsidRPr="00DD61EB" w:rsidRDefault="00C1352C" w:rsidP="00243BA4">
            <w:pPr>
              <w:spacing w:line="276" w:lineRule="auto"/>
              <w:jc w:val="both"/>
              <w:rPr>
                <w:rFonts w:ascii="Times New Roman" w:hAnsi="Times New Roman" w:cs="Times New Roman"/>
                <w:b/>
              </w:rPr>
            </w:pPr>
          </w:p>
        </w:tc>
        <w:tc>
          <w:tcPr>
            <w:tcW w:w="1710" w:type="dxa"/>
          </w:tcPr>
          <w:p w:rsidR="00C1352C" w:rsidRPr="00DD61EB" w:rsidRDefault="00C1352C" w:rsidP="00243BA4">
            <w:pPr>
              <w:spacing w:line="276" w:lineRule="auto"/>
              <w:jc w:val="both"/>
              <w:rPr>
                <w:rFonts w:ascii="Times New Roman" w:hAnsi="Times New Roman" w:cs="Times New Roman"/>
                <w:b/>
              </w:rPr>
            </w:pPr>
          </w:p>
        </w:tc>
        <w:tc>
          <w:tcPr>
            <w:tcW w:w="1710" w:type="dxa"/>
          </w:tcPr>
          <w:p w:rsidR="00C1352C" w:rsidRPr="00DD61EB" w:rsidRDefault="00C1352C" w:rsidP="00243BA4">
            <w:pPr>
              <w:spacing w:line="276" w:lineRule="auto"/>
              <w:jc w:val="both"/>
              <w:rPr>
                <w:rFonts w:ascii="Times New Roman" w:hAnsi="Times New Roman" w:cs="Times New Roman"/>
                <w:b/>
              </w:rPr>
            </w:pPr>
          </w:p>
        </w:tc>
      </w:tr>
    </w:tbl>
    <w:p w:rsidR="00CB1EE2" w:rsidRDefault="00CB1EE2" w:rsidP="00C1352C">
      <w:pPr>
        <w:rPr>
          <w:rFonts w:ascii="Times New Roman" w:hAnsi="Times New Roman" w:cs="Times New Roman"/>
          <w:b/>
          <w:sz w:val="28"/>
          <w:szCs w:val="28"/>
        </w:rPr>
      </w:pPr>
    </w:p>
    <w:p w:rsidR="00C1352C" w:rsidRPr="002C0F5B" w:rsidRDefault="002C0F5B" w:rsidP="002C0F5B">
      <w:pPr>
        <w:ind w:left="90"/>
        <w:jc w:val="both"/>
        <w:rPr>
          <w:rFonts w:ascii="Times New Roman" w:eastAsia="?????? Pro W3" w:hAnsi="Times New Roman" w:cs="Times New Roman"/>
          <w:b/>
          <w:sz w:val="24"/>
          <w:szCs w:val="24"/>
          <w:lang w:val="sq-AL"/>
        </w:rPr>
      </w:pPr>
      <w:r>
        <w:rPr>
          <w:rFonts w:ascii="Times New Roman" w:eastAsia="?????? Pro W3" w:hAnsi="Times New Roman" w:cs="Times New Roman"/>
          <w:b/>
          <w:sz w:val="24"/>
          <w:szCs w:val="24"/>
          <w:lang w:val="sq-AL"/>
        </w:rPr>
        <w:t xml:space="preserve">VI. </w:t>
      </w:r>
      <w:r w:rsidR="009422E2" w:rsidRPr="009422E2">
        <w:rPr>
          <w:rFonts w:ascii="Times New Roman" w:eastAsia="?????? Pro W3" w:hAnsi="Times New Roman" w:cs="Times New Roman"/>
          <w:b/>
          <w:bCs/>
          <w:sz w:val="24"/>
          <w:szCs w:val="24"/>
          <w:lang w:val="sq-AL"/>
        </w:rPr>
        <w:t>SIGURIMI I CILËSISË NË PROGRAMIN E SPECIALIZIMIT AFATGJATË</w:t>
      </w:r>
    </w:p>
    <w:tbl>
      <w:tblPr>
        <w:tblStyle w:val="TableGrid"/>
        <w:tblW w:w="9720" w:type="dxa"/>
        <w:tblInd w:w="-185" w:type="dxa"/>
        <w:tblLook w:val="04A0" w:firstRow="1" w:lastRow="0" w:firstColumn="1" w:lastColumn="0" w:noHBand="0" w:noVBand="1"/>
      </w:tblPr>
      <w:tblGrid>
        <w:gridCol w:w="3106"/>
        <w:gridCol w:w="1574"/>
        <w:gridCol w:w="1620"/>
        <w:gridCol w:w="1662"/>
        <w:gridCol w:w="1758"/>
      </w:tblGrid>
      <w:tr w:rsidR="00C1352C" w:rsidRPr="00A8276A" w:rsidTr="009E4EA0">
        <w:tc>
          <w:tcPr>
            <w:tcW w:w="9720" w:type="dxa"/>
            <w:gridSpan w:val="5"/>
            <w:shd w:val="clear" w:color="auto" w:fill="F7CAAC" w:themeFill="accent2" w:themeFillTint="66"/>
          </w:tcPr>
          <w:p w:rsidR="00C1352C" w:rsidRPr="00A8276A" w:rsidRDefault="00C1352C" w:rsidP="00243BA4">
            <w:pPr>
              <w:spacing w:line="276" w:lineRule="auto"/>
              <w:jc w:val="both"/>
              <w:rPr>
                <w:rFonts w:ascii="Times New Roman" w:eastAsia="Times New Roman" w:hAnsi="Times New Roman" w:cs="Times New Roman"/>
                <w:b/>
                <w:lang w:val="sq-AL"/>
              </w:rPr>
            </w:pPr>
            <w:r w:rsidRPr="00A8276A">
              <w:rPr>
                <w:rFonts w:ascii="Times New Roman" w:eastAsia="Times New Roman" w:hAnsi="Times New Roman" w:cs="Times New Roman"/>
                <w:b/>
                <w:lang w:val="sq-AL"/>
              </w:rPr>
              <w:t>Standardi VI.1</w:t>
            </w:r>
          </w:p>
          <w:p w:rsidR="00C1352C" w:rsidRPr="00A8276A" w:rsidRDefault="00B82C07" w:rsidP="00243BA4">
            <w:pPr>
              <w:spacing w:line="276" w:lineRule="auto"/>
              <w:jc w:val="both"/>
              <w:rPr>
                <w:rFonts w:ascii="Times New Roman" w:eastAsia="Times New Roman" w:hAnsi="Times New Roman" w:cs="Times New Roman"/>
                <w:b/>
                <w:bCs/>
                <w:lang w:val="sq-AL"/>
              </w:rPr>
            </w:pPr>
            <w:r w:rsidRPr="00B82C07">
              <w:rPr>
                <w:rFonts w:ascii="Times New Roman" w:eastAsia="Times New Roman" w:hAnsi="Times New Roman" w:cs="Times New Roman"/>
                <w:b/>
                <w:bCs/>
                <w:lang w:val="sq-AL"/>
              </w:rPr>
              <w:t>Institucioni dhe njësia përgjegjëse lartë harton dhe zbaton politika e procedura transparente të posaçme për sigurimin e cilësisë së programit të specializimit afatgjatë, në kuadër të strukturave e sistemit të brendshëm të sigurimit të cilësisë</w:t>
            </w:r>
            <w:r>
              <w:rPr>
                <w:rFonts w:ascii="Times New Roman" w:eastAsia="Times New Roman" w:hAnsi="Times New Roman" w:cs="Times New Roman"/>
                <w:b/>
                <w:bCs/>
                <w:lang w:val="sq-AL"/>
              </w:rPr>
              <w:t>.</w:t>
            </w:r>
          </w:p>
        </w:tc>
      </w:tr>
      <w:tr w:rsidR="00C1352C" w:rsidRPr="00A8276A" w:rsidTr="00A8276A">
        <w:trPr>
          <w:trHeight w:val="368"/>
        </w:trPr>
        <w:tc>
          <w:tcPr>
            <w:tcW w:w="3106" w:type="dxa"/>
            <w:shd w:val="clear" w:color="auto" w:fill="C5E0B3" w:themeFill="accent6" w:themeFillTint="66"/>
          </w:tcPr>
          <w:p w:rsidR="00C1352C" w:rsidRPr="00A8276A" w:rsidRDefault="00C1352C" w:rsidP="00243BA4">
            <w:pPr>
              <w:spacing w:line="276" w:lineRule="auto"/>
              <w:jc w:val="both"/>
              <w:rPr>
                <w:rFonts w:ascii="Times New Roman" w:eastAsia="Times New Roman" w:hAnsi="Times New Roman" w:cs="Times New Roman"/>
                <w:b/>
                <w:bCs/>
                <w:lang w:val="sq-AL"/>
              </w:rPr>
            </w:pPr>
            <w:r w:rsidRPr="00A8276A">
              <w:rPr>
                <w:rFonts w:ascii="Times New Roman" w:eastAsia="Times New Roman" w:hAnsi="Times New Roman" w:cs="Times New Roman"/>
                <w:b/>
                <w:bCs/>
                <w:lang w:val="sq-AL"/>
              </w:rPr>
              <w:t>Kriteret</w:t>
            </w:r>
          </w:p>
        </w:tc>
        <w:tc>
          <w:tcPr>
            <w:tcW w:w="6614" w:type="dxa"/>
            <w:gridSpan w:val="4"/>
            <w:shd w:val="clear" w:color="auto" w:fill="C5E0B3" w:themeFill="accent6" w:themeFillTint="66"/>
          </w:tcPr>
          <w:p w:rsidR="00C1352C" w:rsidRPr="00A8276A" w:rsidRDefault="00C1352C" w:rsidP="00CB1EE2">
            <w:pPr>
              <w:spacing w:line="276" w:lineRule="auto"/>
              <w:jc w:val="center"/>
              <w:rPr>
                <w:rFonts w:ascii="Times New Roman" w:eastAsia="Times New Roman" w:hAnsi="Times New Roman" w:cs="Times New Roman"/>
                <w:b/>
                <w:bCs/>
                <w:lang w:val="sq-AL"/>
              </w:rPr>
            </w:pPr>
            <w:r w:rsidRPr="00A8276A">
              <w:rPr>
                <w:rFonts w:ascii="Times New Roman" w:eastAsia="Times New Roman" w:hAnsi="Times New Roman" w:cs="Times New Roman"/>
                <w:b/>
                <w:bCs/>
                <w:lang w:val="sq-AL"/>
              </w:rPr>
              <w:t>Vlerësimi i ekspertëve</w:t>
            </w:r>
          </w:p>
        </w:tc>
      </w:tr>
      <w:tr w:rsidR="00DE0A79" w:rsidRPr="00A8276A" w:rsidTr="00A8276A">
        <w:tc>
          <w:tcPr>
            <w:tcW w:w="3106" w:type="dxa"/>
          </w:tcPr>
          <w:p w:rsidR="00DE0A79" w:rsidRPr="00CB1EE2" w:rsidRDefault="00B82C07" w:rsidP="00CB1EE2">
            <w:pPr>
              <w:spacing w:line="276" w:lineRule="auto"/>
              <w:rPr>
                <w:rFonts w:ascii="Times New Roman" w:hAnsi="Times New Roman" w:cs="Times New Roman"/>
                <w:sz w:val="20"/>
                <w:szCs w:val="24"/>
              </w:rPr>
            </w:pPr>
            <w:r w:rsidRPr="00B82C07">
              <w:rPr>
                <w:rFonts w:ascii="Times New Roman" w:hAnsi="Times New Roman" w:cs="Times New Roman"/>
                <w:b/>
                <w:sz w:val="20"/>
                <w:szCs w:val="24"/>
              </w:rPr>
              <w:t>Kriteri 1:</w:t>
            </w:r>
            <w:r w:rsidRPr="00B82C07">
              <w:rPr>
                <w:rFonts w:ascii="Times New Roman" w:hAnsi="Times New Roman" w:cs="Times New Roman"/>
                <w:sz w:val="20"/>
                <w:szCs w:val="24"/>
              </w:rPr>
              <w:t xml:space="preserve"> Institucioni ka politika, struktura dhe procedura për Sigurimin e Brendshëm të Cilësisë (SBC), në përputhje me parashikimet ligjore e nënligjore në fuqi, dhe me akt</w:t>
            </w:r>
            <w:r w:rsidR="00CB1EE2">
              <w:rPr>
                <w:rFonts w:ascii="Times New Roman" w:hAnsi="Times New Roman" w:cs="Times New Roman"/>
                <w:sz w:val="20"/>
                <w:szCs w:val="24"/>
              </w:rPr>
              <w:t>et rregullatore institucionale.</w:t>
            </w:r>
          </w:p>
        </w:tc>
        <w:tc>
          <w:tcPr>
            <w:tcW w:w="6614"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A8276A">
        <w:tc>
          <w:tcPr>
            <w:tcW w:w="3106" w:type="dxa"/>
          </w:tcPr>
          <w:p w:rsidR="00DE0A79" w:rsidRPr="00CB1EE2" w:rsidRDefault="00B82C07" w:rsidP="00CB1EE2">
            <w:pPr>
              <w:spacing w:line="276" w:lineRule="auto"/>
              <w:rPr>
                <w:rFonts w:ascii="Times New Roman" w:hAnsi="Times New Roman" w:cs="Times New Roman"/>
                <w:sz w:val="20"/>
                <w:szCs w:val="24"/>
              </w:rPr>
            </w:pPr>
            <w:r w:rsidRPr="00B82C07">
              <w:rPr>
                <w:rFonts w:ascii="Times New Roman" w:hAnsi="Times New Roman" w:cs="Times New Roman"/>
                <w:b/>
                <w:sz w:val="20"/>
                <w:szCs w:val="24"/>
              </w:rPr>
              <w:t>Kriteri 2:</w:t>
            </w:r>
            <w:r w:rsidRPr="00B82C07">
              <w:rPr>
                <w:rFonts w:ascii="Times New Roman" w:hAnsi="Times New Roman" w:cs="Times New Roman"/>
                <w:sz w:val="20"/>
                <w:szCs w:val="24"/>
              </w:rPr>
              <w:t xml:space="preserve"> Institucioni ka të ngritur dhe funksional Sistemin e Brendshëm të Sigurimit të Cilësisë dhe zbaton një strategji institucionale për përmirësimin e vazhdueshëm të cilësisë, ku përfshihen edhe studentët dhe bashkëp</w:t>
            </w:r>
            <w:r w:rsidR="00CB1EE2">
              <w:rPr>
                <w:rFonts w:ascii="Times New Roman" w:hAnsi="Times New Roman" w:cs="Times New Roman"/>
                <w:sz w:val="20"/>
                <w:szCs w:val="24"/>
              </w:rPr>
              <w:t xml:space="preserve">unëtorë e ekspertë të jashtëm. </w:t>
            </w:r>
          </w:p>
        </w:tc>
        <w:tc>
          <w:tcPr>
            <w:tcW w:w="6614"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A8276A">
        <w:tc>
          <w:tcPr>
            <w:tcW w:w="3106" w:type="dxa"/>
          </w:tcPr>
          <w:p w:rsidR="00DE0A79" w:rsidRPr="00CB1EE2" w:rsidRDefault="00B82C07" w:rsidP="00CB1EE2">
            <w:pPr>
              <w:spacing w:line="276" w:lineRule="auto"/>
              <w:rPr>
                <w:rFonts w:ascii="Times New Roman" w:hAnsi="Times New Roman" w:cs="Times New Roman"/>
                <w:sz w:val="20"/>
                <w:szCs w:val="24"/>
              </w:rPr>
            </w:pPr>
            <w:r w:rsidRPr="00B82C07">
              <w:rPr>
                <w:rFonts w:ascii="Times New Roman" w:hAnsi="Times New Roman" w:cs="Times New Roman"/>
                <w:b/>
                <w:sz w:val="20"/>
                <w:szCs w:val="24"/>
              </w:rPr>
              <w:t>Kriteri 3:</w:t>
            </w:r>
            <w:r w:rsidRPr="00B82C07">
              <w:rPr>
                <w:rFonts w:ascii="Times New Roman" w:hAnsi="Times New Roman" w:cs="Times New Roman"/>
                <w:sz w:val="20"/>
                <w:szCs w:val="24"/>
              </w:rPr>
              <w:t xml:space="preserve"> Institucioni përdor instrumentet e duhura për sigurimin e cilësisë, Sigurimi i jashtëm i cilësisë në arsimin e lartë realizohet përmes proceseve të vlerësimit të jashtëm të akreditimit, vlerësimeve analitike e krahasuese, si dhe proceseve të tjera që prom</w:t>
            </w:r>
            <w:r w:rsidR="00CB1EE2">
              <w:rPr>
                <w:rFonts w:ascii="Times New Roman" w:hAnsi="Times New Roman" w:cs="Times New Roman"/>
                <w:sz w:val="20"/>
                <w:szCs w:val="24"/>
              </w:rPr>
              <w:t>ovojnë e përmirësojnë cilësinë.</w:t>
            </w:r>
          </w:p>
        </w:tc>
        <w:tc>
          <w:tcPr>
            <w:tcW w:w="6614"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A8276A">
        <w:tc>
          <w:tcPr>
            <w:tcW w:w="3106" w:type="dxa"/>
          </w:tcPr>
          <w:p w:rsidR="00DE0A79" w:rsidRPr="00CB1EE2" w:rsidRDefault="00B82C07" w:rsidP="00CB1EE2">
            <w:pPr>
              <w:spacing w:line="276" w:lineRule="auto"/>
              <w:rPr>
                <w:rFonts w:ascii="Times New Roman" w:hAnsi="Times New Roman" w:cs="Times New Roman"/>
                <w:sz w:val="20"/>
                <w:szCs w:val="24"/>
              </w:rPr>
            </w:pPr>
            <w:r w:rsidRPr="00B82C07">
              <w:rPr>
                <w:rFonts w:ascii="Times New Roman" w:hAnsi="Times New Roman" w:cs="Times New Roman"/>
                <w:b/>
                <w:sz w:val="20"/>
                <w:szCs w:val="24"/>
              </w:rPr>
              <w:t>Kriteri 4:</w:t>
            </w:r>
            <w:r w:rsidRPr="00B82C07">
              <w:rPr>
                <w:rFonts w:ascii="Times New Roman" w:hAnsi="Times New Roman" w:cs="Times New Roman"/>
                <w:sz w:val="20"/>
                <w:szCs w:val="24"/>
              </w:rPr>
              <w:t xml:space="preserve"> Institucioni ka hartuar një politikë të qartë dhe ndjek procedura periodike për sigurimin dhe përmirësimin e cilësisë së programit të studimit që ofron, në kuadër të SBC. Ato synojnë krijimin e kulturës së cilësisë në rang institucional, të njësive përbërëse dhe të gjithë aktorëve </w:t>
            </w:r>
            <w:r w:rsidR="00CB1EE2">
              <w:rPr>
                <w:rFonts w:ascii="Times New Roman" w:hAnsi="Times New Roman" w:cs="Times New Roman"/>
                <w:sz w:val="20"/>
                <w:szCs w:val="24"/>
              </w:rPr>
              <w:t xml:space="preserve">të brendshëm të institucionit. </w:t>
            </w:r>
          </w:p>
        </w:tc>
        <w:tc>
          <w:tcPr>
            <w:tcW w:w="6614" w:type="dxa"/>
            <w:gridSpan w:val="4"/>
          </w:tcPr>
          <w:p w:rsidR="00DE0A79" w:rsidRPr="00A8276A" w:rsidRDefault="00DE0A79" w:rsidP="00243BA4">
            <w:pPr>
              <w:spacing w:line="276" w:lineRule="auto"/>
              <w:jc w:val="both"/>
              <w:rPr>
                <w:rFonts w:ascii="Times New Roman" w:hAnsi="Times New Roman" w:cs="Times New Roman"/>
                <w:b/>
              </w:rPr>
            </w:pPr>
          </w:p>
        </w:tc>
      </w:tr>
      <w:tr w:rsidR="00C1352C" w:rsidRPr="00A8276A" w:rsidTr="00A8276A">
        <w:trPr>
          <w:trHeight w:val="315"/>
        </w:trPr>
        <w:tc>
          <w:tcPr>
            <w:tcW w:w="3106" w:type="dxa"/>
            <w:vMerge w:val="restart"/>
            <w:shd w:val="clear" w:color="auto" w:fill="F7CAAC" w:themeFill="accent2" w:themeFillTint="66"/>
          </w:tcPr>
          <w:p w:rsidR="00C1352C" w:rsidRPr="00A8276A" w:rsidRDefault="00C1352C" w:rsidP="00243BA4">
            <w:pPr>
              <w:spacing w:line="276" w:lineRule="auto"/>
              <w:rPr>
                <w:rFonts w:ascii="Times New Roman" w:hAnsi="Times New Roman" w:cs="Times New Roman"/>
                <w:b/>
              </w:rPr>
            </w:pPr>
            <w:r w:rsidRPr="00A8276A">
              <w:rPr>
                <w:rFonts w:ascii="Times New Roman" w:hAnsi="Times New Roman" w:cs="Times New Roman"/>
                <w:b/>
              </w:rPr>
              <w:t>Shkalla e përmbushjes së standardit</w:t>
            </w:r>
          </w:p>
        </w:tc>
        <w:tc>
          <w:tcPr>
            <w:tcW w:w="1574" w:type="dxa"/>
            <w:shd w:val="clear" w:color="auto" w:fill="FF000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Nuk përmbushet</w:t>
            </w:r>
          </w:p>
        </w:tc>
        <w:tc>
          <w:tcPr>
            <w:tcW w:w="1620" w:type="dxa"/>
            <w:shd w:val="clear" w:color="auto" w:fill="FF660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Përmbushet pjesërisht</w:t>
            </w:r>
          </w:p>
        </w:tc>
        <w:tc>
          <w:tcPr>
            <w:tcW w:w="1662" w:type="dxa"/>
            <w:shd w:val="clear" w:color="auto" w:fill="CCCC0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Përmbushet kryesisht</w:t>
            </w:r>
          </w:p>
        </w:tc>
        <w:tc>
          <w:tcPr>
            <w:tcW w:w="1758" w:type="dxa"/>
            <w:shd w:val="clear" w:color="auto" w:fill="92D05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Përmbushet plotësisht</w:t>
            </w:r>
          </w:p>
        </w:tc>
      </w:tr>
      <w:tr w:rsidR="00C1352C" w:rsidRPr="00A8276A" w:rsidTr="00A8276A">
        <w:trPr>
          <w:trHeight w:val="315"/>
        </w:trPr>
        <w:tc>
          <w:tcPr>
            <w:tcW w:w="3106" w:type="dxa"/>
            <w:vMerge/>
            <w:shd w:val="clear" w:color="auto" w:fill="F7CAAC" w:themeFill="accent2" w:themeFillTint="66"/>
          </w:tcPr>
          <w:p w:rsidR="00C1352C" w:rsidRPr="00A8276A" w:rsidRDefault="00C1352C" w:rsidP="00243BA4">
            <w:pPr>
              <w:spacing w:line="276" w:lineRule="auto"/>
              <w:rPr>
                <w:rFonts w:ascii="Times New Roman" w:hAnsi="Times New Roman" w:cs="Times New Roman"/>
                <w:b/>
              </w:rPr>
            </w:pPr>
          </w:p>
        </w:tc>
        <w:tc>
          <w:tcPr>
            <w:tcW w:w="1574" w:type="dxa"/>
          </w:tcPr>
          <w:p w:rsidR="00C1352C" w:rsidRPr="00A8276A" w:rsidRDefault="00C1352C" w:rsidP="00243BA4">
            <w:pPr>
              <w:spacing w:line="276" w:lineRule="auto"/>
              <w:jc w:val="both"/>
              <w:rPr>
                <w:rFonts w:ascii="Times New Roman" w:hAnsi="Times New Roman" w:cs="Times New Roman"/>
                <w:b/>
              </w:rPr>
            </w:pPr>
          </w:p>
        </w:tc>
        <w:tc>
          <w:tcPr>
            <w:tcW w:w="1620" w:type="dxa"/>
          </w:tcPr>
          <w:p w:rsidR="00C1352C" w:rsidRPr="00A8276A" w:rsidRDefault="00C1352C" w:rsidP="00243BA4">
            <w:pPr>
              <w:spacing w:line="276" w:lineRule="auto"/>
              <w:jc w:val="both"/>
              <w:rPr>
                <w:rFonts w:ascii="Times New Roman" w:hAnsi="Times New Roman" w:cs="Times New Roman"/>
                <w:b/>
              </w:rPr>
            </w:pPr>
          </w:p>
        </w:tc>
        <w:tc>
          <w:tcPr>
            <w:tcW w:w="1662" w:type="dxa"/>
          </w:tcPr>
          <w:p w:rsidR="00C1352C" w:rsidRPr="00A8276A" w:rsidRDefault="00C1352C" w:rsidP="00243BA4">
            <w:pPr>
              <w:spacing w:line="276" w:lineRule="auto"/>
              <w:jc w:val="both"/>
              <w:rPr>
                <w:rFonts w:ascii="Times New Roman" w:hAnsi="Times New Roman" w:cs="Times New Roman"/>
                <w:b/>
              </w:rPr>
            </w:pPr>
          </w:p>
        </w:tc>
        <w:tc>
          <w:tcPr>
            <w:tcW w:w="1758" w:type="dxa"/>
          </w:tcPr>
          <w:p w:rsidR="00C1352C" w:rsidRPr="00A8276A" w:rsidRDefault="00C1352C" w:rsidP="00243BA4">
            <w:pPr>
              <w:spacing w:line="276" w:lineRule="auto"/>
              <w:jc w:val="both"/>
              <w:rPr>
                <w:rFonts w:ascii="Times New Roman" w:hAnsi="Times New Roman" w:cs="Times New Roman"/>
                <w:b/>
              </w:rPr>
            </w:pPr>
          </w:p>
        </w:tc>
      </w:tr>
    </w:tbl>
    <w:p w:rsidR="00DE0A79" w:rsidRPr="003F3820" w:rsidRDefault="00DE0A79" w:rsidP="003F3820">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03"/>
        <w:gridCol w:w="1577"/>
        <w:gridCol w:w="1620"/>
        <w:gridCol w:w="1661"/>
        <w:gridCol w:w="1759"/>
      </w:tblGrid>
      <w:tr w:rsidR="00C1352C" w:rsidRPr="00A8276A" w:rsidTr="009E4EA0">
        <w:tc>
          <w:tcPr>
            <w:tcW w:w="9720" w:type="dxa"/>
            <w:gridSpan w:val="5"/>
            <w:shd w:val="clear" w:color="auto" w:fill="F7CAAC" w:themeFill="accent2" w:themeFillTint="66"/>
          </w:tcPr>
          <w:p w:rsidR="00C1352C" w:rsidRPr="00A8276A" w:rsidRDefault="00C1352C" w:rsidP="00243BA4">
            <w:pPr>
              <w:spacing w:line="276" w:lineRule="auto"/>
              <w:jc w:val="both"/>
              <w:rPr>
                <w:rFonts w:ascii="Times New Roman" w:hAnsi="Times New Roman" w:cs="Times New Roman"/>
                <w:b/>
                <w:lang w:val="sq-AL"/>
              </w:rPr>
            </w:pPr>
            <w:r w:rsidRPr="00A8276A">
              <w:rPr>
                <w:rFonts w:ascii="Times New Roman" w:hAnsi="Times New Roman" w:cs="Times New Roman"/>
                <w:b/>
                <w:lang w:val="sq-AL"/>
              </w:rPr>
              <w:t xml:space="preserve">Standardi VI.2  </w:t>
            </w:r>
          </w:p>
          <w:p w:rsidR="00C1352C" w:rsidRPr="00A8276A" w:rsidRDefault="00B82C07" w:rsidP="00243BA4">
            <w:pPr>
              <w:spacing w:line="276" w:lineRule="auto"/>
              <w:jc w:val="both"/>
              <w:rPr>
                <w:rFonts w:ascii="Times New Roman" w:hAnsi="Times New Roman" w:cs="Times New Roman"/>
                <w:b/>
              </w:rPr>
            </w:pPr>
            <w:r w:rsidRPr="00B82C07">
              <w:rPr>
                <w:rFonts w:ascii="Times New Roman" w:hAnsi="Times New Roman" w:cs="Times New Roman"/>
                <w:b/>
                <w:lang w:val="sq-AL"/>
              </w:rPr>
              <w:lastRenderedPageBreak/>
              <w:t>Institucioni dhe njësia përgjegjëse monitoron dhe vlerëson në mënyrë të vazhdueshme programin e studimit, për të garantuar arritjen e objektivave formuese dhe rezultateve të synuara të të nxënit.</w:t>
            </w:r>
          </w:p>
        </w:tc>
      </w:tr>
      <w:tr w:rsidR="00C1352C" w:rsidRPr="00A8276A" w:rsidTr="00A8276A">
        <w:trPr>
          <w:trHeight w:val="377"/>
        </w:trPr>
        <w:tc>
          <w:tcPr>
            <w:tcW w:w="3103" w:type="dxa"/>
            <w:shd w:val="clear" w:color="auto" w:fill="C5E0B3" w:themeFill="accent6" w:themeFillTint="66"/>
          </w:tcPr>
          <w:p w:rsidR="00C1352C" w:rsidRPr="00A8276A" w:rsidRDefault="00C1352C" w:rsidP="00243BA4">
            <w:pPr>
              <w:spacing w:line="276" w:lineRule="auto"/>
              <w:jc w:val="both"/>
              <w:rPr>
                <w:rFonts w:ascii="Times New Roman" w:eastAsia="Times New Roman" w:hAnsi="Times New Roman" w:cs="Times New Roman"/>
                <w:b/>
                <w:bCs/>
                <w:lang w:val="sq-AL"/>
              </w:rPr>
            </w:pPr>
            <w:r w:rsidRPr="00A8276A">
              <w:rPr>
                <w:rFonts w:ascii="Times New Roman" w:eastAsia="Times New Roman" w:hAnsi="Times New Roman" w:cs="Times New Roman"/>
                <w:b/>
                <w:bCs/>
                <w:lang w:val="sq-AL"/>
              </w:rPr>
              <w:lastRenderedPageBreak/>
              <w:t>Kriteret</w:t>
            </w:r>
          </w:p>
        </w:tc>
        <w:tc>
          <w:tcPr>
            <w:tcW w:w="6617" w:type="dxa"/>
            <w:gridSpan w:val="4"/>
            <w:shd w:val="clear" w:color="auto" w:fill="C5E0B3" w:themeFill="accent6" w:themeFillTint="66"/>
          </w:tcPr>
          <w:p w:rsidR="00C1352C" w:rsidRPr="00A8276A" w:rsidRDefault="00C1352C" w:rsidP="00CB1EE2">
            <w:pPr>
              <w:spacing w:line="276" w:lineRule="auto"/>
              <w:jc w:val="center"/>
              <w:rPr>
                <w:rFonts w:ascii="Times New Roman" w:eastAsia="Times New Roman" w:hAnsi="Times New Roman" w:cs="Times New Roman"/>
                <w:b/>
                <w:bCs/>
                <w:lang w:val="sq-AL"/>
              </w:rPr>
            </w:pPr>
            <w:r w:rsidRPr="00A8276A">
              <w:rPr>
                <w:rFonts w:ascii="Times New Roman" w:eastAsia="Times New Roman" w:hAnsi="Times New Roman" w:cs="Times New Roman"/>
                <w:b/>
                <w:bCs/>
                <w:lang w:val="sq-AL"/>
              </w:rPr>
              <w:t>Vlerësimi i ekspertëve</w:t>
            </w:r>
          </w:p>
        </w:tc>
      </w:tr>
      <w:tr w:rsidR="00DE0A79" w:rsidRPr="00A8276A" w:rsidTr="00A8276A">
        <w:tc>
          <w:tcPr>
            <w:tcW w:w="3103" w:type="dxa"/>
          </w:tcPr>
          <w:p w:rsidR="00DE0A79" w:rsidRPr="00B82C07" w:rsidRDefault="00B82C07" w:rsidP="00CB1EE2">
            <w:pPr>
              <w:spacing w:line="276" w:lineRule="auto"/>
              <w:rPr>
                <w:rFonts w:ascii="Times New Roman" w:hAnsi="Times New Roman" w:cs="Times New Roman"/>
                <w:sz w:val="20"/>
                <w:szCs w:val="20"/>
              </w:rPr>
            </w:pPr>
            <w:r w:rsidRPr="00B82C07">
              <w:rPr>
                <w:rFonts w:ascii="Times New Roman" w:hAnsi="Times New Roman" w:cs="Times New Roman"/>
                <w:b/>
                <w:sz w:val="20"/>
                <w:szCs w:val="20"/>
              </w:rPr>
              <w:t>Kriteri 1:</w:t>
            </w:r>
            <w:r w:rsidRPr="00B82C07">
              <w:rPr>
                <w:rFonts w:ascii="Times New Roman" w:hAnsi="Times New Roman" w:cs="Times New Roman"/>
                <w:sz w:val="20"/>
                <w:szCs w:val="20"/>
              </w:rPr>
              <w:t xml:space="preserve"> Institucioni ngre njësi të posaçme për monitorimin, shqyrtimin, mbikëqyrjen, rishikimi</w:t>
            </w:r>
            <w:r w:rsidR="00CB1EE2">
              <w:rPr>
                <w:rFonts w:ascii="Times New Roman" w:hAnsi="Times New Roman" w:cs="Times New Roman"/>
                <w:sz w:val="20"/>
                <w:szCs w:val="20"/>
              </w:rPr>
              <w:t>n e programit të specializimit.</w:t>
            </w:r>
          </w:p>
        </w:tc>
        <w:tc>
          <w:tcPr>
            <w:tcW w:w="6617"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A8276A">
        <w:tc>
          <w:tcPr>
            <w:tcW w:w="3103" w:type="dxa"/>
          </w:tcPr>
          <w:p w:rsidR="00DE0A79" w:rsidRPr="00B82C07" w:rsidRDefault="00B82C07" w:rsidP="00CB1EE2">
            <w:pPr>
              <w:spacing w:line="276" w:lineRule="auto"/>
              <w:rPr>
                <w:rFonts w:ascii="Times New Roman" w:hAnsi="Times New Roman" w:cs="Times New Roman"/>
                <w:sz w:val="20"/>
                <w:szCs w:val="20"/>
              </w:rPr>
            </w:pPr>
            <w:r w:rsidRPr="00B82C07">
              <w:rPr>
                <w:rFonts w:ascii="Times New Roman" w:hAnsi="Times New Roman" w:cs="Times New Roman"/>
                <w:b/>
                <w:sz w:val="20"/>
                <w:szCs w:val="20"/>
              </w:rPr>
              <w:t>Kriteri 2:</w:t>
            </w:r>
            <w:r w:rsidRPr="00B82C07">
              <w:rPr>
                <w:rFonts w:ascii="Times New Roman" w:hAnsi="Times New Roman" w:cs="Times New Roman"/>
                <w:sz w:val="20"/>
                <w:szCs w:val="20"/>
              </w:rPr>
              <w:t xml:space="preserve"> Institucioni përdor mekanizma e procese formale e të dokumentuara, për shqyrtimin, miratimin dhe mbikëqyrjen e herëpashershme</w:t>
            </w:r>
            <w:r w:rsidR="00CB1EE2">
              <w:rPr>
                <w:rFonts w:ascii="Times New Roman" w:hAnsi="Times New Roman" w:cs="Times New Roman"/>
                <w:sz w:val="20"/>
                <w:szCs w:val="20"/>
              </w:rPr>
              <w:t xml:space="preserve"> të programit të specializimit.</w:t>
            </w:r>
          </w:p>
        </w:tc>
        <w:tc>
          <w:tcPr>
            <w:tcW w:w="6617"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A8276A">
        <w:tc>
          <w:tcPr>
            <w:tcW w:w="3103" w:type="dxa"/>
          </w:tcPr>
          <w:p w:rsidR="00DE0A79" w:rsidRPr="00B82C07" w:rsidRDefault="00B82C07" w:rsidP="00CB1EE2">
            <w:pPr>
              <w:spacing w:line="276" w:lineRule="auto"/>
              <w:rPr>
                <w:rFonts w:ascii="Times New Roman" w:hAnsi="Times New Roman" w:cs="Times New Roman"/>
                <w:sz w:val="20"/>
                <w:szCs w:val="20"/>
              </w:rPr>
            </w:pPr>
            <w:r w:rsidRPr="00B82C07">
              <w:rPr>
                <w:rFonts w:ascii="Times New Roman" w:hAnsi="Times New Roman" w:cs="Times New Roman"/>
                <w:b/>
                <w:sz w:val="20"/>
                <w:szCs w:val="20"/>
              </w:rPr>
              <w:t>Kriteri 3:</w:t>
            </w:r>
            <w:r w:rsidRPr="00B82C07">
              <w:rPr>
                <w:rFonts w:ascii="Times New Roman" w:hAnsi="Times New Roman" w:cs="Times New Roman"/>
                <w:sz w:val="20"/>
                <w:szCs w:val="20"/>
              </w:rPr>
              <w:t xml:space="preserve"> Institucioni ka përcaktuar indikatorë dhe tregues cilësorë të matshëm sasiorë për programin e specializimit në kudër të vlerë</w:t>
            </w:r>
            <w:r w:rsidR="00CB1EE2">
              <w:rPr>
                <w:rFonts w:ascii="Times New Roman" w:hAnsi="Times New Roman" w:cs="Times New Roman"/>
                <w:sz w:val="20"/>
                <w:szCs w:val="20"/>
              </w:rPr>
              <w:t>simit të cilësisë së programit.</w:t>
            </w:r>
          </w:p>
        </w:tc>
        <w:tc>
          <w:tcPr>
            <w:tcW w:w="6617"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A8276A">
        <w:tc>
          <w:tcPr>
            <w:tcW w:w="3103" w:type="dxa"/>
          </w:tcPr>
          <w:p w:rsidR="00DE0A79" w:rsidRPr="00B82C07" w:rsidRDefault="00B82C07" w:rsidP="00CB1EE2">
            <w:pPr>
              <w:spacing w:line="276" w:lineRule="auto"/>
              <w:rPr>
                <w:rFonts w:ascii="Times New Roman" w:hAnsi="Times New Roman" w:cs="Times New Roman"/>
                <w:sz w:val="20"/>
                <w:szCs w:val="20"/>
              </w:rPr>
            </w:pPr>
            <w:r w:rsidRPr="00B82C07">
              <w:rPr>
                <w:rFonts w:ascii="Times New Roman" w:hAnsi="Times New Roman" w:cs="Times New Roman"/>
                <w:b/>
                <w:sz w:val="20"/>
                <w:szCs w:val="20"/>
              </w:rPr>
              <w:t>Kriteri 4:</w:t>
            </w:r>
            <w:r w:rsidRPr="00B82C07">
              <w:rPr>
                <w:rFonts w:ascii="Times New Roman" w:hAnsi="Times New Roman" w:cs="Times New Roman"/>
                <w:sz w:val="20"/>
                <w:szCs w:val="20"/>
              </w:rPr>
              <w:t xml:space="preserve"> Institucioni përdor metodologji vlerësimi, instrumente matëse dhe vlerësuese për ecurinë dhe mbarëvaj</w:t>
            </w:r>
            <w:r w:rsidR="00CB1EE2">
              <w:rPr>
                <w:rFonts w:ascii="Times New Roman" w:hAnsi="Times New Roman" w:cs="Times New Roman"/>
                <w:sz w:val="20"/>
                <w:szCs w:val="20"/>
              </w:rPr>
              <w:t>tjen e programit të studimit.</w:t>
            </w:r>
          </w:p>
        </w:tc>
        <w:tc>
          <w:tcPr>
            <w:tcW w:w="6617" w:type="dxa"/>
            <w:gridSpan w:val="4"/>
          </w:tcPr>
          <w:p w:rsidR="00DE0A79" w:rsidRPr="00A8276A" w:rsidRDefault="00DE0A79" w:rsidP="00243BA4">
            <w:pPr>
              <w:spacing w:line="276" w:lineRule="auto"/>
              <w:jc w:val="both"/>
              <w:rPr>
                <w:rFonts w:ascii="Times New Roman" w:hAnsi="Times New Roman" w:cs="Times New Roman"/>
                <w:b/>
              </w:rPr>
            </w:pPr>
          </w:p>
        </w:tc>
      </w:tr>
      <w:tr w:rsidR="00B82C07" w:rsidRPr="00A8276A" w:rsidTr="00A8276A">
        <w:tc>
          <w:tcPr>
            <w:tcW w:w="3103" w:type="dxa"/>
          </w:tcPr>
          <w:p w:rsidR="00B82C07" w:rsidRPr="00B82C07" w:rsidRDefault="00B82C07" w:rsidP="00B82C07">
            <w:pPr>
              <w:spacing w:line="276" w:lineRule="auto"/>
              <w:rPr>
                <w:rFonts w:ascii="Times New Roman" w:hAnsi="Times New Roman" w:cs="Times New Roman"/>
                <w:sz w:val="20"/>
                <w:szCs w:val="20"/>
              </w:rPr>
            </w:pPr>
            <w:r w:rsidRPr="00B82C07">
              <w:rPr>
                <w:rFonts w:ascii="Times New Roman" w:hAnsi="Times New Roman" w:cs="Times New Roman"/>
                <w:b/>
                <w:sz w:val="20"/>
                <w:szCs w:val="20"/>
              </w:rPr>
              <w:t>Kriteri 5:</w:t>
            </w:r>
            <w:r w:rsidRPr="00B82C07">
              <w:rPr>
                <w:rFonts w:ascii="Times New Roman" w:hAnsi="Times New Roman" w:cs="Times New Roman"/>
                <w:sz w:val="20"/>
                <w:szCs w:val="20"/>
              </w:rPr>
              <w:t xml:space="preserve"> Rezultatet e këtyre vlerësimeve dokumentohen dhe u bëhen të njohura autoriteteve përgjegjëse dhe vendimma</w:t>
            </w:r>
            <w:r w:rsidR="00CB1EE2">
              <w:rPr>
                <w:rFonts w:ascii="Times New Roman" w:hAnsi="Times New Roman" w:cs="Times New Roman"/>
                <w:sz w:val="20"/>
                <w:szCs w:val="20"/>
              </w:rPr>
              <w:t>rrëse për programin e studimit.</w:t>
            </w:r>
          </w:p>
        </w:tc>
        <w:tc>
          <w:tcPr>
            <w:tcW w:w="6617" w:type="dxa"/>
            <w:gridSpan w:val="4"/>
          </w:tcPr>
          <w:p w:rsidR="00B82C07" w:rsidRPr="00A8276A" w:rsidRDefault="00B82C07" w:rsidP="00243BA4">
            <w:pPr>
              <w:spacing w:line="276" w:lineRule="auto"/>
              <w:jc w:val="both"/>
              <w:rPr>
                <w:rFonts w:ascii="Times New Roman" w:hAnsi="Times New Roman" w:cs="Times New Roman"/>
                <w:b/>
              </w:rPr>
            </w:pPr>
          </w:p>
        </w:tc>
      </w:tr>
      <w:tr w:rsidR="00B82C07" w:rsidRPr="00A8276A" w:rsidTr="00A8276A">
        <w:tc>
          <w:tcPr>
            <w:tcW w:w="3103" w:type="dxa"/>
          </w:tcPr>
          <w:p w:rsidR="00B82C07" w:rsidRPr="00B82C07" w:rsidRDefault="00B82C07" w:rsidP="00B82C07">
            <w:pPr>
              <w:spacing w:line="276" w:lineRule="auto"/>
              <w:rPr>
                <w:rFonts w:ascii="Times New Roman" w:hAnsi="Times New Roman" w:cs="Times New Roman"/>
                <w:sz w:val="20"/>
                <w:szCs w:val="20"/>
              </w:rPr>
            </w:pPr>
            <w:r w:rsidRPr="00B82C07">
              <w:rPr>
                <w:rFonts w:ascii="Times New Roman" w:hAnsi="Times New Roman" w:cs="Times New Roman"/>
                <w:b/>
                <w:sz w:val="20"/>
                <w:szCs w:val="20"/>
              </w:rPr>
              <w:t>Kriteri 6:</w:t>
            </w:r>
            <w:r w:rsidRPr="00B82C07">
              <w:rPr>
                <w:rFonts w:ascii="Times New Roman" w:hAnsi="Times New Roman" w:cs="Times New Roman"/>
                <w:sz w:val="20"/>
                <w:szCs w:val="20"/>
              </w:rPr>
              <w:t xml:space="preserve"> Raportet e vlerësimit duhet të përfshijnë rezultatet e pritshme, rezultatet e vlerësimit dhe masat e marra për adresimin e mangësive dhe përm</w:t>
            </w:r>
            <w:r w:rsidR="00CB1EE2">
              <w:rPr>
                <w:rFonts w:ascii="Times New Roman" w:hAnsi="Times New Roman" w:cs="Times New Roman"/>
                <w:sz w:val="20"/>
                <w:szCs w:val="20"/>
              </w:rPr>
              <w:t xml:space="preserve">irësimin në vijim të cilësisë. </w:t>
            </w:r>
          </w:p>
        </w:tc>
        <w:tc>
          <w:tcPr>
            <w:tcW w:w="6617" w:type="dxa"/>
            <w:gridSpan w:val="4"/>
          </w:tcPr>
          <w:p w:rsidR="00B82C07" w:rsidRPr="00A8276A" w:rsidRDefault="00B82C07" w:rsidP="00243BA4">
            <w:pPr>
              <w:spacing w:line="276" w:lineRule="auto"/>
              <w:jc w:val="both"/>
              <w:rPr>
                <w:rFonts w:ascii="Times New Roman" w:hAnsi="Times New Roman" w:cs="Times New Roman"/>
                <w:b/>
              </w:rPr>
            </w:pPr>
          </w:p>
        </w:tc>
      </w:tr>
      <w:tr w:rsidR="00C1352C" w:rsidRPr="00A8276A" w:rsidTr="00A8276A">
        <w:trPr>
          <w:trHeight w:val="315"/>
        </w:trPr>
        <w:tc>
          <w:tcPr>
            <w:tcW w:w="3103" w:type="dxa"/>
            <w:vMerge w:val="restart"/>
            <w:shd w:val="clear" w:color="auto" w:fill="F7CAAC" w:themeFill="accent2" w:themeFillTint="66"/>
          </w:tcPr>
          <w:p w:rsidR="00C1352C" w:rsidRPr="00A8276A" w:rsidRDefault="00C1352C" w:rsidP="00243BA4">
            <w:pPr>
              <w:spacing w:line="276" w:lineRule="auto"/>
              <w:rPr>
                <w:rFonts w:ascii="Times New Roman" w:hAnsi="Times New Roman" w:cs="Times New Roman"/>
                <w:b/>
              </w:rPr>
            </w:pPr>
            <w:r w:rsidRPr="00A8276A">
              <w:rPr>
                <w:rFonts w:ascii="Times New Roman" w:hAnsi="Times New Roman" w:cs="Times New Roman"/>
                <w:b/>
              </w:rPr>
              <w:t>Shkalla e përmbushjes së standardit</w:t>
            </w:r>
          </w:p>
        </w:tc>
        <w:tc>
          <w:tcPr>
            <w:tcW w:w="1577" w:type="dxa"/>
            <w:shd w:val="clear" w:color="auto" w:fill="FF000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Nuk përmbushet</w:t>
            </w:r>
          </w:p>
        </w:tc>
        <w:tc>
          <w:tcPr>
            <w:tcW w:w="1620" w:type="dxa"/>
            <w:shd w:val="clear" w:color="auto" w:fill="FF660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Përmbushet pjesërisht</w:t>
            </w:r>
          </w:p>
        </w:tc>
        <w:tc>
          <w:tcPr>
            <w:tcW w:w="1661" w:type="dxa"/>
            <w:shd w:val="clear" w:color="auto" w:fill="CCCC0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Përmbushet kryesisht</w:t>
            </w:r>
          </w:p>
        </w:tc>
        <w:tc>
          <w:tcPr>
            <w:tcW w:w="1759" w:type="dxa"/>
            <w:shd w:val="clear" w:color="auto" w:fill="92D05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Përmbushet plotësisht</w:t>
            </w:r>
          </w:p>
        </w:tc>
      </w:tr>
      <w:tr w:rsidR="00C1352C" w:rsidRPr="00A8276A" w:rsidTr="00A8276A">
        <w:trPr>
          <w:trHeight w:val="315"/>
        </w:trPr>
        <w:tc>
          <w:tcPr>
            <w:tcW w:w="3103" w:type="dxa"/>
            <w:vMerge/>
            <w:shd w:val="clear" w:color="auto" w:fill="F7CAAC" w:themeFill="accent2" w:themeFillTint="66"/>
          </w:tcPr>
          <w:p w:rsidR="00C1352C" w:rsidRPr="00A8276A" w:rsidRDefault="00C1352C" w:rsidP="00243BA4">
            <w:pPr>
              <w:spacing w:line="276" w:lineRule="auto"/>
              <w:rPr>
                <w:rFonts w:ascii="Times New Roman" w:hAnsi="Times New Roman" w:cs="Times New Roman"/>
                <w:b/>
              </w:rPr>
            </w:pPr>
          </w:p>
        </w:tc>
        <w:tc>
          <w:tcPr>
            <w:tcW w:w="1577" w:type="dxa"/>
          </w:tcPr>
          <w:p w:rsidR="00C1352C" w:rsidRPr="00A8276A" w:rsidRDefault="00C1352C" w:rsidP="00243BA4">
            <w:pPr>
              <w:spacing w:line="276" w:lineRule="auto"/>
              <w:jc w:val="both"/>
              <w:rPr>
                <w:rFonts w:ascii="Times New Roman" w:hAnsi="Times New Roman" w:cs="Times New Roman"/>
                <w:b/>
              </w:rPr>
            </w:pPr>
          </w:p>
        </w:tc>
        <w:tc>
          <w:tcPr>
            <w:tcW w:w="1620" w:type="dxa"/>
          </w:tcPr>
          <w:p w:rsidR="00C1352C" w:rsidRPr="00A8276A" w:rsidRDefault="00C1352C" w:rsidP="00243BA4">
            <w:pPr>
              <w:spacing w:line="276" w:lineRule="auto"/>
              <w:jc w:val="both"/>
              <w:rPr>
                <w:rFonts w:ascii="Times New Roman" w:hAnsi="Times New Roman" w:cs="Times New Roman"/>
                <w:b/>
              </w:rPr>
            </w:pPr>
          </w:p>
        </w:tc>
        <w:tc>
          <w:tcPr>
            <w:tcW w:w="1661" w:type="dxa"/>
          </w:tcPr>
          <w:p w:rsidR="00C1352C" w:rsidRPr="00A8276A" w:rsidRDefault="00C1352C" w:rsidP="00243BA4">
            <w:pPr>
              <w:spacing w:line="276" w:lineRule="auto"/>
              <w:jc w:val="both"/>
              <w:rPr>
                <w:rFonts w:ascii="Times New Roman" w:hAnsi="Times New Roman" w:cs="Times New Roman"/>
                <w:b/>
              </w:rPr>
            </w:pPr>
          </w:p>
        </w:tc>
        <w:tc>
          <w:tcPr>
            <w:tcW w:w="1759" w:type="dxa"/>
          </w:tcPr>
          <w:p w:rsidR="00C1352C" w:rsidRPr="00A8276A" w:rsidRDefault="00C1352C" w:rsidP="00243BA4">
            <w:pPr>
              <w:spacing w:line="276" w:lineRule="auto"/>
              <w:jc w:val="both"/>
              <w:rPr>
                <w:rFonts w:ascii="Times New Roman" w:hAnsi="Times New Roman" w:cs="Times New Roman"/>
                <w:b/>
              </w:rPr>
            </w:pPr>
          </w:p>
        </w:tc>
      </w:tr>
    </w:tbl>
    <w:p w:rsidR="00C1352C" w:rsidRPr="00A8276A" w:rsidRDefault="00C1352C" w:rsidP="00C1352C">
      <w:pPr>
        <w:pStyle w:val="ListParagraph"/>
        <w:spacing w:line="276" w:lineRule="auto"/>
        <w:ind w:left="1350"/>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90"/>
        <w:gridCol w:w="1590"/>
        <w:gridCol w:w="1620"/>
        <w:gridCol w:w="1657"/>
        <w:gridCol w:w="1763"/>
      </w:tblGrid>
      <w:tr w:rsidR="00C1352C" w:rsidRPr="00A8276A" w:rsidTr="00243BA4">
        <w:tc>
          <w:tcPr>
            <w:tcW w:w="9720" w:type="dxa"/>
            <w:gridSpan w:val="5"/>
            <w:shd w:val="clear" w:color="auto" w:fill="F7CAAC" w:themeFill="accent2" w:themeFillTint="66"/>
          </w:tcPr>
          <w:p w:rsidR="00C1352C" w:rsidRPr="00A8276A" w:rsidRDefault="00C1352C" w:rsidP="00243BA4">
            <w:pPr>
              <w:spacing w:line="276" w:lineRule="auto"/>
              <w:jc w:val="both"/>
              <w:rPr>
                <w:rFonts w:ascii="Times New Roman" w:eastAsia="Times New Roman" w:hAnsi="Times New Roman" w:cs="Times New Roman"/>
                <w:b/>
                <w:bCs/>
                <w:lang w:val="sq-AL"/>
              </w:rPr>
            </w:pPr>
            <w:r w:rsidRPr="00A8276A">
              <w:rPr>
                <w:rFonts w:ascii="Times New Roman" w:eastAsia="Times New Roman" w:hAnsi="Times New Roman" w:cs="Times New Roman"/>
                <w:b/>
                <w:lang w:val="sq-AL"/>
              </w:rPr>
              <w:t>Standardi VI.3</w:t>
            </w:r>
          </w:p>
          <w:p w:rsidR="00C1352C" w:rsidRPr="00A8276A" w:rsidRDefault="00B82C07" w:rsidP="00243BA4">
            <w:pPr>
              <w:spacing w:line="276" w:lineRule="auto"/>
              <w:jc w:val="both"/>
              <w:rPr>
                <w:rFonts w:ascii="Times New Roman" w:hAnsi="Times New Roman" w:cs="Times New Roman"/>
                <w:b/>
              </w:rPr>
            </w:pPr>
            <w:r w:rsidRPr="00B82C07">
              <w:rPr>
                <w:rFonts w:ascii="Times New Roman" w:eastAsia="Times New Roman" w:hAnsi="Times New Roman" w:cs="Times New Roman"/>
                <w:b/>
                <w:lang w:val="sq-AL"/>
              </w:rPr>
              <w:t>Institucioni dhe njësia përgjegjëse përdor procedura e metodologji vlerësimi, instrumente matëse dhe vlerësuese për hapjen, zhvillimin dhe ecurinë e programit të studimit, diplomimin dhe daljen në tregun e punës apo studimeve të mëtejshme të studentëve.</w:t>
            </w:r>
          </w:p>
        </w:tc>
      </w:tr>
      <w:tr w:rsidR="00C1352C" w:rsidRPr="00A8276A" w:rsidTr="00753369">
        <w:trPr>
          <w:trHeight w:val="395"/>
        </w:trPr>
        <w:tc>
          <w:tcPr>
            <w:tcW w:w="3090" w:type="dxa"/>
            <w:shd w:val="clear" w:color="auto" w:fill="C5E0B3" w:themeFill="accent6" w:themeFillTint="66"/>
          </w:tcPr>
          <w:p w:rsidR="00C1352C" w:rsidRPr="00A8276A" w:rsidRDefault="00C1352C" w:rsidP="00243BA4">
            <w:pPr>
              <w:spacing w:line="276" w:lineRule="auto"/>
              <w:jc w:val="both"/>
              <w:rPr>
                <w:rFonts w:ascii="Times New Roman" w:eastAsia="Times New Roman" w:hAnsi="Times New Roman" w:cs="Times New Roman"/>
                <w:b/>
                <w:bCs/>
                <w:lang w:val="sq-AL"/>
              </w:rPr>
            </w:pPr>
            <w:r w:rsidRPr="00A8276A">
              <w:rPr>
                <w:rFonts w:ascii="Times New Roman" w:eastAsia="Times New Roman" w:hAnsi="Times New Roman" w:cs="Times New Roman"/>
                <w:b/>
                <w:bCs/>
                <w:lang w:val="sq-AL"/>
              </w:rPr>
              <w:t>Kriteret</w:t>
            </w:r>
          </w:p>
        </w:tc>
        <w:tc>
          <w:tcPr>
            <w:tcW w:w="6630" w:type="dxa"/>
            <w:gridSpan w:val="4"/>
            <w:shd w:val="clear" w:color="auto" w:fill="C5E0B3" w:themeFill="accent6" w:themeFillTint="66"/>
          </w:tcPr>
          <w:p w:rsidR="00C1352C" w:rsidRPr="00A8276A" w:rsidRDefault="00C1352C" w:rsidP="00337142">
            <w:pPr>
              <w:spacing w:line="276" w:lineRule="auto"/>
              <w:jc w:val="center"/>
              <w:rPr>
                <w:rFonts w:ascii="Times New Roman" w:eastAsia="Times New Roman" w:hAnsi="Times New Roman" w:cs="Times New Roman"/>
                <w:b/>
                <w:bCs/>
                <w:lang w:val="sq-AL"/>
              </w:rPr>
            </w:pPr>
            <w:r w:rsidRPr="00A8276A">
              <w:rPr>
                <w:rFonts w:ascii="Times New Roman" w:eastAsia="Times New Roman" w:hAnsi="Times New Roman" w:cs="Times New Roman"/>
                <w:b/>
                <w:bCs/>
                <w:lang w:val="sq-AL"/>
              </w:rPr>
              <w:t>Vlerësimi i ekspertëve</w:t>
            </w:r>
          </w:p>
        </w:tc>
      </w:tr>
      <w:tr w:rsidR="00DE0A79" w:rsidRPr="00A8276A" w:rsidTr="00753369">
        <w:tc>
          <w:tcPr>
            <w:tcW w:w="3090" w:type="dxa"/>
          </w:tcPr>
          <w:p w:rsidR="00DE0A79" w:rsidRPr="00B82C07" w:rsidRDefault="00B82C07" w:rsidP="00337142">
            <w:pPr>
              <w:spacing w:line="276" w:lineRule="auto"/>
              <w:rPr>
                <w:rFonts w:ascii="Times New Roman" w:hAnsi="Times New Roman" w:cs="Times New Roman"/>
                <w:sz w:val="20"/>
                <w:szCs w:val="20"/>
              </w:rPr>
            </w:pPr>
            <w:r w:rsidRPr="00B82C07">
              <w:rPr>
                <w:rFonts w:ascii="Times New Roman" w:hAnsi="Times New Roman" w:cs="Times New Roman"/>
                <w:b/>
                <w:sz w:val="20"/>
                <w:szCs w:val="20"/>
              </w:rPr>
              <w:t>Kriteri 1:</w:t>
            </w:r>
            <w:r w:rsidRPr="00B82C07">
              <w:rPr>
                <w:rFonts w:ascii="Times New Roman" w:hAnsi="Times New Roman" w:cs="Times New Roman"/>
                <w:sz w:val="20"/>
                <w:szCs w:val="20"/>
              </w:rPr>
              <w:t xml:space="preserve"> Vlerësimi i brendshëm i programit të specializimit kryhet në mënyrë periodike nga njësia e brendshme e cilësisë që lidhet me </w:t>
            </w:r>
            <w:r w:rsidRPr="00B82C07">
              <w:rPr>
                <w:rFonts w:ascii="Times New Roman" w:hAnsi="Times New Roman" w:cs="Times New Roman"/>
                <w:sz w:val="20"/>
                <w:szCs w:val="20"/>
              </w:rPr>
              <w:lastRenderedPageBreak/>
              <w:t>këtë program studimi. Institucioni i arsimi të lartë e përfshin këtë informacion në vetëvlerësimin institucional në kuadër të akreditimit, apo vetëvlerë</w:t>
            </w:r>
            <w:r w:rsidR="00337142">
              <w:rPr>
                <w:rFonts w:ascii="Times New Roman" w:hAnsi="Times New Roman" w:cs="Times New Roman"/>
                <w:sz w:val="20"/>
                <w:szCs w:val="20"/>
              </w:rPr>
              <w:t xml:space="preserve">simeve të brendshme periodike. </w:t>
            </w:r>
          </w:p>
        </w:tc>
        <w:tc>
          <w:tcPr>
            <w:tcW w:w="6630"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753369">
        <w:tc>
          <w:tcPr>
            <w:tcW w:w="3090" w:type="dxa"/>
          </w:tcPr>
          <w:p w:rsidR="00DE0A79" w:rsidRPr="00B82C07" w:rsidRDefault="00B82C07" w:rsidP="00337142">
            <w:pPr>
              <w:spacing w:line="276" w:lineRule="auto"/>
              <w:rPr>
                <w:rFonts w:ascii="Times New Roman" w:hAnsi="Times New Roman" w:cs="Times New Roman"/>
                <w:sz w:val="20"/>
                <w:szCs w:val="20"/>
              </w:rPr>
            </w:pPr>
            <w:r w:rsidRPr="00B82C07">
              <w:rPr>
                <w:rFonts w:ascii="Times New Roman" w:hAnsi="Times New Roman" w:cs="Times New Roman"/>
                <w:b/>
                <w:sz w:val="20"/>
                <w:szCs w:val="20"/>
              </w:rPr>
              <w:t>Kriteri 2:</w:t>
            </w:r>
            <w:r w:rsidRPr="00B82C07">
              <w:rPr>
                <w:rFonts w:ascii="Times New Roman" w:hAnsi="Times New Roman" w:cs="Times New Roman"/>
                <w:sz w:val="20"/>
                <w:szCs w:val="20"/>
              </w:rPr>
              <w:t xml:space="preserve"> Për kryerjen e vlerësimit, Institucioni përdor metoda e instrumente të ndryshme, të posaçme e të përshtatshme në përputhje me natyrën dhe specifikën </w:t>
            </w:r>
            <w:r w:rsidR="00337142">
              <w:rPr>
                <w:rFonts w:ascii="Times New Roman" w:hAnsi="Times New Roman" w:cs="Times New Roman"/>
                <w:sz w:val="20"/>
                <w:szCs w:val="20"/>
              </w:rPr>
              <w:t>që ka programi i specializimit.</w:t>
            </w:r>
          </w:p>
        </w:tc>
        <w:tc>
          <w:tcPr>
            <w:tcW w:w="6630"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753369">
        <w:tc>
          <w:tcPr>
            <w:tcW w:w="3090" w:type="dxa"/>
          </w:tcPr>
          <w:p w:rsidR="00DE0A79" w:rsidRPr="00B82C07" w:rsidRDefault="00B82C07" w:rsidP="00337142">
            <w:pPr>
              <w:spacing w:line="276" w:lineRule="auto"/>
              <w:rPr>
                <w:rFonts w:ascii="Times New Roman" w:hAnsi="Times New Roman" w:cs="Times New Roman"/>
                <w:sz w:val="20"/>
                <w:szCs w:val="20"/>
              </w:rPr>
            </w:pPr>
            <w:r w:rsidRPr="00B82C07">
              <w:rPr>
                <w:rFonts w:ascii="Times New Roman" w:hAnsi="Times New Roman" w:cs="Times New Roman"/>
                <w:b/>
                <w:sz w:val="20"/>
                <w:szCs w:val="20"/>
              </w:rPr>
              <w:t>Kriteri 3:</w:t>
            </w:r>
            <w:r w:rsidRPr="00B82C07">
              <w:rPr>
                <w:rFonts w:ascii="Times New Roman" w:hAnsi="Times New Roman" w:cs="Times New Roman"/>
                <w:sz w:val="20"/>
                <w:szCs w:val="20"/>
              </w:rPr>
              <w:t xml:space="preserve"> Institucioni, në kuadër të vlerësimit të realizimit, mbarëvajtjes e cilësisë së programit përdor metoda të drejtpërdr</w:t>
            </w:r>
            <w:r w:rsidR="00337142">
              <w:rPr>
                <w:rFonts w:ascii="Times New Roman" w:hAnsi="Times New Roman" w:cs="Times New Roman"/>
                <w:sz w:val="20"/>
                <w:szCs w:val="20"/>
              </w:rPr>
              <w:t>ejta për vlerësimin e cilësisë.</w:t>
            </w:r>
          </w:p>
        </w:tc>
        <w:tc>
          <w:tcPr>
            <w:tcW w:w="6630"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753369">
        <w:tc>
          <w:tcPr>
            <w:tcW w:w="3090" w:type="dxa"/>
          </w:tcPr>
          <w:p w:rsidR="00DE0A79" w:rsidRPr="00B82C07" w:rsidRDefault="00B82C07" w:rsidP="00337142">
            <w:pPr>
              <w:spacing w:line="276" w:lineRule="auto"/>
              <w:rPr>
                <w:rFonts w:ascii="Times New Roman" w:hAnsi="Times New Roman" w:cs="Times New Roman"/>
                <w:sz w:val="20"/>
                <w:szCs w:val="20"/>
              </w:rPr>
            </w:pPr>
            <w:r w:rsidRPr="00B82C07">
              <w:rPr>
                <w:rFonts w:ascii="Times New Roman" w:hAnsi="Times New Roman" w:cs="Times New Roman"/>
                <w:b/>
                <w:sz w:val="20"/>
                <w:szCs w:val="20"/>
              </w:rPr>
              <w:t>Kriteri 4:</w:t>
            </w:r>
            <w:r w:rsidRPr="00B82C07">
              <w:rPr>
                <w:rFonts w:ascii="Times New Roman" w:hAnsi="Times New Roman" w:cs="Times New Roman"/>
                <w:sz w:val="20"/>
                <w:szCs w:val="20"/>
              </w:rPr>
              <w:t xml:space="preserve"> Institucioni, në kuadër të vlerësimit të realizimit, mbarëvajtjes e cilësisë së programit përdor metoda të tërthorta vlerësimi si sondazhe e intervista të studentëve, të atyre te diplomuar, të personelit akadem</w:t>
            </w:r>
            <w:r w:rsidR="00337142">
              <w:rPr>
                <w:rFonts w:ascii="Times New Roman" w:hAnsi="Times New Roman" w:cs="Times New Roman"/>
                <w:sz w:val="20"/>
                <w:szCs w:val="20"/>
              </w:rPr>
              <w:t>ik, udhëheqësve dhe partnerëve.</w:t>
            </w:r>
          </w:p>
        </w:tc>
        <w:tc>
          <w:tcPr>
            <w:tcW w:w="6630" w:type="dxa"/>
            <w:gridSpan w:val="4"/>
          </w:tcPr>
          <w:p w:rsidR="00DE0A79" w:rsidRPr="00A8276A" w:rsidRDefault="00DE0A79" w:rsidP="00243BA4">
            <w:pPr>
              <w:spacing w:line="276" w:lineRule="auto"/>
              <w:jc w:val="both"/>
              <w:rPr>
                <w:rFonts w:ascii="Times New Roman" w:hAnsi="Times New Roman" w:cs="Times New Roman"/>
                <w:b/>
              </w:rPr>
            </w:pPr>
          </w:p>
        </w:tc>
      </w:tr>
      <w:tr w:rsidR="00B82C07" w:rsidRPr="00A8276A" w:rsidTr="00753369">
        <w:tc>
          <w:tcPr>
            <w:tcW w:w="3090" w:type="dxa"/>
          </w:tcPr>
          <w:p w:rsidR="00B82C07" w:rsidRPr="00B82C07" w:rsidRDefault="00B82C07" w:rsidP="00B82C07">
            <w:pPr>
              <w:spacing w:line="276" w:lineRule="auto"/>
              <w:rPr>
                <w:rFonts w:ascii="Times New Roman" w:hAnsi="Times New Roman" w:cs="Times New Roman"/>
                <w:sz w:val="20"/>
                <w:szCs w:val="20"/>
              </w:rPr>
            </w:pPr>
            <w:r w:rsidRPr="00B82C07">
              <w:rPr>
                <w:rFonts w:ascii="Times New Roman" w:hAnsi="Times New Roman" w:cs="Times New Roman"/>
                <w:b/>
                <w:sz w:val="20"/>
                <w:szCs w:val="20"/>
              </w:rPr>
              <w:t>Kriteri 5:</w:t>
            </w:r>
            <w:r w:rsidRPr="00B82C07">
              <w:rPr>
                <w:rFonts w:ascii="Times New Roman" w:hAnsi="Times New Roman" w:cs="Times New Roman"/>
                <w:sz w:val="20"/>
                <w:szCs w:val="20"/>
              </w:rPr>
              <w:t xml:space="preserve"> Mekanizmat e vlerësimit në kuadër të përmirësimet të vazhdueshëm të programit, përfshijnë palët e interesuara, institucionet që bashkëpunojnë në realizimin e programit të studimit dhe palëve të tjera që përfshihen në realizimin apo që shërbejnë për vlerësimin e dijeve e kompetenca</w:t>
            </w:r>
            <w:r w:rsidR="00337142">
              <w:rPr>
                <w:rFonts w:ascii="Times New Roman" w:hAnsi="Times New Roman" w:cs="Times New Roman"/>
                <w:sz w:val="20"/>
                <w:szCs w:val="20"/>
              </w:rPr>
              <w:t>ve të përftuara nga ky program.</w:t>
            </w:r>
          </w:p>
        </w:tc>
        <w:tc>
          <w:tcPr>
            <w:tcW w:w="6630" w:type="dxa"/>
            <w:gridSpan w:val="4"/>
          </w:tcPr>
          <w:p w:rsidR="00B82C07" w:rsidRPr="00A8276A" w:rsidRDefault="00B82C07" w:rsidP="00243BA4">
            <w:pPr>
              <w:spacing w:line="276" w:lineRule="auto"/>
              <w:jc w:val="both"/>
              <w:rPr>
                <w:rFonts w:ascii="Times New Roman" w:hAnsi="Times New Roman" w:cs="Times New Roman"/>
                <w:b/>
              </w:rPr>
            </w:pPr>
          </w:p>
        </w:tc>
      </w:tr>
      <w:tr w:rsidR="00C1352C" w:rsidRPr="00A8276A" w:rsidTr="00753369">
        <w:trPr>
          <w:trHeight w:val="315"/>
        </w:trPr>
        <w:tc>
          <w:tcPr>
            <w:tcW w:w="3090" w:type="dxa"/>
            <w:vMerge w:val="restart"/>
            <w:shd w:val="clear" w:color="auto" w:fill="F7CAAC" w:themeFill="accent2" w:themeFillTint="66"/>
          </w:tcPr>
          <w:p w:rsidR="00C1352C" w:rsidRPr="00A8276A" w:rsidRDefault="00C1352C" w:rsidP="00243BA4">
            <w:pPr>
              <w:spacing w:line="276" w:lineRule="auto"/>
              <w:rPr>
                <w:rFonts w:ascii="Times New Roman" w:hAnsi="Times New Roman" w:cs="Times New Roman"/>
                <w:b/>
              </w:rPr>
            </w:pPr>
            <w:r w:rsidRPr="00A8276A">
              <w:rPr>
                <w:rFonts w:ascii="Times New Roman" w:hAnsi="Times New Roman" w:cs="Times New Roman"/>
                <w:b/>
              </w:rPr>
              <w:t>Shkalla e përmbushjes së standardit</w:t>
            </w:r>
          </w:p>
        </w:tc>
        <w:tc>
          <w:tcPr>
            <w:tcW w:w="1590" w:type="dxa"/>
            <w:shd w:val="clear" w:color="auto" w:fill="FF000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Nuk përmbushet</w:t>
            </w:r>
          </w:p>
        </w:tc>
        <w:tc>
          <w:tcPr>
            <w:tcW w:w="1620" w:type="dxa"/>
            <w:shd w:val="clear" w:color="auto" w:fill="FF660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Përmbushet pjesërisht</w:t>
            </w:r>
          </w:p>
        </w:tc>
        <w:tc>
          <w:tcPr>
            <w:tcW w:w="1657" w:type="dxa"/>
            <w:shd w:val="clear" w:color="auto" w:fill="CCCC0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Përmbushet krye</w:t>
            </w:r>
            <w:r w:rsidRPr="00A8276A">
              <w:rPr>
                <w:rFonts w:ascii="Times New Roman" w:hAnsi="Times New Roman" w:cs="Times New Roman"/>
                <w:b/>
                <w:shd w:val="clear" w:color="auto" w:fill="CCCC00"/>
              </w:rPr>
              <w:t>s</w:t>
            </w:r>
            <w:r w:rsidRPr="00A8276A">
              <w:rPr>
                <w:rFonts w:ascii="Times New Roman" w:hAnsi="Times New Roman" w:cs="Times New Roman"/>
                <w:b/>
              </w:rPr>
              <w:t>isht</w:t>
            </w:r>
          </w:p>
        </w:tc>
        <w:tc>
          <w:tcPr>
            <w:tcW w:w="1763" w:type="dxa"/>
            <w:shd w:val="clear" w:color="auto" w:fill="92D05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Përmbushet plotësisht</w:t>
            </w:r>
          </w:p>
        </w:tc>
      </w:tr>
      <w:tr w:rsidR="00C1352C" w:rsidRPr="00A8276A" w:rsidTr="00753369">
        <w:trPr>
          <w:trHeight w:val="315"/>
        </w:trPr>
        <w:tc>
          <w:tcPr>
            <w:tcW w:w="3090" w:type="dxa"/>
            <w:vMerge/>
            <w:shd w:val="clear" w:color="auto" w:fill="F7CAAC" w:themeFill="accent2" w:themeFillTint="66"/>
          </w:tcPr>
          <w:p w:rsidR="00C1352C" w:rsidRPr="00A8276A" w:rsidRDefault="00C1352C" w:rsidP="00243BA4">
            <w:pPr>
              <w:spacing w:line="276" w:lineRule="auto"/>
              <w:rPr>
                <w:rFonts w:ascii="Times New Roman" w:hAnsi="Times New Roman" w:cs="Times New Roman"/>
                <w:b/>
              </w:rPr>
            </w:pPr>
          </w:p>
        </w:tc>
        <w:tc>
          <w:tcPr>
            <w:tcW w:w="1590" w:type="dxa"/>
          </w:tcPr>
          <w:p w:rsidR="00C1352C" w:rsidRPr="00A8276A" w:rsidRDefault="00C1352C" w:rsidP="00243BA4">
            <w:pPr>
              <w:spacing w:line="276" w:lineRule="auto"/>
              <w:jc w:val="both"/>
              <w:rPr>
                <w:rFonts w:ascii="Times New Roman" w:hAnsi="Times New Roman" w:cs="Times New Roman"/>
                <w:b/>
              </w:rPr>
            </w:pPr>
          </w:p>
        </w:tc>
        <w:tc>
          <w:tcPr>
            <w:tcW w:w="1620" w:type="dxa"/>
          </w:tcPr>
          <w:p w:rsidR="00C1352C" w:rsidRPr="00A8276A" w:rsidRDefault="00C1352C" w:rsidP="00243BA4">
            <w:pPr>
              <w:spacing w:line="276" w:lineRule="auto"/>
              <w:jc w:val="both"/>
              <w:rPr>
                <w:rFonts w:ascii="Times New Roman" w:hAnsi="Times New Roman" w:cs="Times New Roman"/>
                <w:b/>
              </w:rPr>
            </w:pPr>
          </w:p>
        </w:tc>
        <w:tc>
          <w:tcPr>
            <w:tcW w:w="1657" w:type="dxa"/>
          </w:tcPr>
          <w:p w:rsidR="00C1352C" w:rsidRPr="00A8276A" w:rsidRDefault="00C1352C" w:rsidP="00243BA4">
            <w:pPr>
              <w:spacing w:line="276" w:lineRule="auto"/>
              <w:jc w:val="both"/>
              <w:rPr>
                <w:rFonts w:ascii="Times New Roman" w:hAnsi="Times New Roman" w:cs="Times New Roman"/>
                <w:b/>
              </w:rPr>
            </w:pPr>
          </w:p>
        </w:tc>
        <w:tc>
          <w:tcPr>
            <w:tcW w:w="1763" w:type="dxa"/>
          </w:tcPr>
          <w:p w:rsidR="00C1352C" w:rsidRPr="00A8276A" w:rsidRDefault="00C1352C" w:rsidP="00243BA4">
            <w:pPr>
              <w:spacing w:line="276" w:lineRule="auto"/>
              <w:jc w:val="both"/>
              <w:rPr>
                <w:rFonts w:ascii="Times New Roman" w:hAnsi="Times New Roman" w:cs="Times New Roman"/>
                <w:b/>
              </w:rPr>
            </w:pPr>
          </w:p>
        </w:tc>
      </w:tr>
    </w:tbl>
    <w:p w:rsidR="00502F73" w:rsidRPr="00337142" w:rsidRDefault="00502F73" w:rsidP="00337142">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608"/>
        <w:gridCol w:w="1684"/>
        <w:gridCol w:w="1568"/>
        <w:gridCol w:w="1800"/>
      </w:tblGrid>
      <w:tr w:rsidR="00C1352C" w:rsidRPr="00A8276A" w:rsidTr="00243BA4">
        <w:tc>
          <w:tcPr>
            <w:tcW w:w="9720" w:type="dxa"/>
            <w:gridSpan w:val="5"/>
            <w:shd w:val="clear" w:color="auto" w:fill="F7CAAC" w:themeFill="accent2" w:themeFillTint="66"/>
          </w:tcPr>
          <w:p w:rsidR="00C1352C" w:rsidRPr="00A8276A" w:rsidRDefault="00C1352C" w:rsidP="00243BA4">
            <w:pPr>
              <w:ind w:left="1843" w:hanging="1843"/>
              <w:jc w:val="both"/>
              <w:rPr>
                <w:rFonts w:ascii="Times New Roman" w:eastAsia="Times New Roman" w:hAnsi="Times New Roman" w:cs="Times New Roman"/>
                <w:b/>
                <w:lang w:val="sq-AL"/>
              </w:rPr>
            </w:pPr>
            <w:r w:rsidRPr="00A8276A">
              <w:rPr>
                <w:rFonts w:ascii="Times New Roman" w:eastAsia="Times New Roman" w:hAnsi="Times New Roman" w:cs="Times New Roman"/>
                <w:b/>
                <w:lang w:val="sq-AL"/>
              </w:rPr>
              <w:t xml:space="preserve">Standardi VI.4  </w:t>
            </w:r>
          </w:p>
          <w:p w:rsidR="00C1352C" w:rsidRPr="00A8276A" w:rsidRDefault="00B82C07" w:rsidP="00DE0A79">
            <w:pPr>
              <w:jc w:val="both"/>
              <w:rPr>
                <w:rFonts w:ascii="Times New Roman" w:eastAsia="Times New Roman" w:hAnsi="Times New Roman" w:cs="Times New Roman"/>
                <w:b/>
                <w:bCs/>
                <w:lang w:val="sq-AL"/>
              </w:rPr>
            </w:pPr>
            <w:r w:rsidRPr="00B82C07">
              <w:rPr>
                <w:rFonts w:ascii="Times New Roman" w:hAnsi="Times New Roman" w:cs="Times New Roman"/>
                <w:b/>
                <w:lang w:val="sq-AL"/>
              </w:rPr>
              <w:t>Institucioni përfshin njësitë akademike, stafin e studentët në proceset e SBC të programit të studimit dhe informon palët e interesuara në lidhje me rezultatet dhe masat e mara në vijim të tyre.</w:t>
            </w:r>
          </w:p>
        </w:tc>
      </w:tr>
      <w:tr w:rsidR="00C1352C" w:rsidRPr="00A8276A" w:rsidTr="00337142">
        <w:trPr>
          <w:trHeight w:hRule="exact" w:val="397"/>
        </w:trPr>
        <w:tc>
          <w:tcPr>
            <w:tcW w:w="3060" w:type="dxa"/>
            <w:shd w:val="clear" w:color="auto" w:fill="C5E0B3" w:themeFill="accent6" w:themeFillTint="66"/>
          </w:tcPr>
          <w:p w:rsidR="00C1352C" w:rsidRPr="00A8276A" w:rsidRDefault="00C1352C" w:rsidP="00243BA4">
            <w:pPr>
              <w:spacing w:line="276" w:lineRule="auto"/>
              <w:jc w:val="both"/>
              <w:rPr>
                <w:rFonts w:ascii="Times New Roman" w:eastAsia="Times New Roman" w:hAnsi="Times New Roman" w:cs="Times New Roman"/>
                <w:b/>
                <w:bCs/>
                <w:lang w:val="sq-AL"/>
              </w:rPr>
            </w:pPr>
            <w:r w:rsidRPr="00A8276A">
              <w:rPr>
                <w:rFonts w:ascii="Times New Roman" w:eastAsia="Times New Roman" w:hAnsi="Times New Roman" w:cs="Times New Roman"/>
                <w:b/>
                <w:bCs/>
                <w:lang w:val="sq-AL"/>
              </w:rPr>
              <w:t>Kriteret</w:t>
            </w:r>
          </w:p>
        </w:tc>
        <w:tc>
          <w:tcPr>
            <w:tcW w:w="6660" w:type="dxa"/>
            <w:gridSpan w:val="4"/>
            <w:shd w:val="clear" w:color="auto" w:fill="C5E0B3" w:themeFill="accent6" w:themeFillTint="66"/>
          </w:tcPr>
          <w:p w:rsidR="00C1352C" w:rsidRPr="00A8276A" w:rsidRDefault="00C1352C" w:rsidP="00337142">
            <w:pPr>
              <w:spacing w:line="276" w:lineRule="auto"/>
              <w:jc w:val="center"/>
              <w:rPr>
                <w:rFonts w:ascii="Times New Roman" w:eastAsia="Times New Roman" w:hAnsi="Times New Roman" w:cs="Times New Roman"/>
                <w:b/>
                <w:bCs/>
                <w:lang w:val="sq-AL"/>
              </w:rPr>
            </w:pPr>
            <w:r w:rsidRPr="00A8276A">
              <w:rPr>
                <w:rFonts w:ascii="Times New Roman" w:eastAsia="Times New Roman" w:hAnsi="Times New Roman" w:cs="Times New Roman"/>
                <w:b/>
                <w:bCs/>
                <w:lang w:val="sq-AL"/>
              </w:rPr>
              <w:t>Vlerësimi i ekspertëve</w:t>
            </w:r>
          </w:p>
        </w:tc>
      </w:tr>
      <w:tr w:rsidR="00DE0A79" w:rsidRPr="00A8276A" w:rsidTr="00753369">
        <w:tc>
          <w:tcPr>
            <w:tcW w:w="3060" w:type="dxa"/>
          </w:tcPr>
          <w:p w:rsidR="00DE0A79" w:rsidRPr="00B8730A" w:rsidRDefault="00B8730A" w:rsidP="00337142">
            <w:pPr>
              <w:spacing w:line="276" w:lineRule="auto"/>
              <w:rPr>
                <w:rFonts w:ascii="Times New Roman" w:hAnsi="Times New Roman" w:cs="Times New Roman"/>
                <w:sz w:val="20"/>
                <w:szCs w:val="20"/>
              </w:rPr>
            </w:pPr>
            <w:r w:rsidRPr="00B8730A">
              <w:rPr>
                <w:rFonts w:ascii="Times New Roman" w:hAnsi="Times New Roman" w:cs="Times New Roman"/>
                <w:b/>
                <w:sz w:val="20"/>
                <w:szCs w:val="20"/>
              </w:rPr>
              <w:t>Kriteri 1:</w:t>
            </w:r>
            <w:r w:rsidRPr="00B8730A">
              <w:rPr>
                <w:rFonts w:ascii="Times New Roman" w:hAnsi="Times New Roman" w:cs="Times New Roman"/>
                <w:sz w:val="20"/>
                <w:szCs w:val="20"/>
              </w:rPr>
              <w:t xml:space="preserve"> Institucioni duhet të parashikojë dhe garantojë në politikat dhe procedurat e brendshme të cilësisë përfshirjen e aktorëve të brendshëm dhe të jashtëm të interesuara për </w:t>
            </w:r>
            <w:r w:rsidRPr="00B8730A">
              <w:rPr>
                <w:rFonts w:ascii="Times New Roman" w:hAnsi="Times New Roman" w:cs="Times New Roman"/>
                <w:sz w:val="20"/>
                <w:szCs w:val="20"/>
              </w:rPr>
              <w:lastRenderedPageBreak/>
              <w:t>sigurimin dhe përmirësimin e vazhdua</w:t>
            </w:r>
            <w:r w:rsidR="00337142">
              <w:rPr>
                <w:rFonts w:ascii="Times New Roman" w:hAnsi="Times New Roman" w:cs="Times New Roman"/>
                <w:sz w:val="20"/>
                <w:szCs w:val="20"/>
              </w:rPr>
              <w:t>r të cilësisë së programit.</w:t>
            </w:r>
          </w:p>
        </w:tc>
        <w:tc>
          <w:tcPr>
            <w:tcW w:w="6660"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753369">
        <w:tc>
          <w:tcPr>
            <w:tcW w:w="3060" w:type="dxa"/>
          </w:tcPr>
          <w:p w:rsidR="00DE0A79" w:rsidRPr="00B8730A" w:rsidRDefault="00B8730A" w:rsidP="00337142">
            <w:pPr>
              <w:spacing w:line="276" w:lineRule="auto"/>
              <w:rPr>
                <w:rFonts w:ascii="Times New Roman" w:hAnsi="Times New Roman" w:cs="Times New Roman"/>
                <w:sz w:val="20"/>
                <w:szCs w:val="20"/>
              </w:rPr>
            </w:pPr>
            <w:r w:rsidRPr="00B8730A">
              <w:rPr>
                <w:rFonts w:ascii="Times New Roman" w:hAnsi="Times New Roman" w:cs="Times New Roman"/>
                <w:b/>
                <w:sz w:val="20"/>
                <w:szCs w:val="20"/>
              </w:rPr>
              <w:t>Kriteri 2:</w:t>
            </w:r>
            <w:r w:rsidRPr="00B8730A">
              <w:rPr>
                <w:rFonts w:ascii="Times New Roman" w:hAnsi="Times New Roman" w:cs="Times New Roman"/>
                <w:sz w:val="20"/>
                <w:szCs w:val="20"/>
              </w:rPr>
              <w:t xml:space="preserve"> Institucioni përcakton përgjegjësi dhe detyra konkrete për njësitë, individët, studentët dhe palë të tjera të angazhuara në sigurimin e brendshëm të cilësisë së programit të studimit, dhe garanton ushtrimin me përg</w:t>
            </w:r>
            <w:r w:rsidR="00337142">
              <w:rPr>
                <w:rFonts w:ascii="Times New Roman" w:hAnsi="Times New Roman" w:cs="Times New Roman"/>
                <w:sz w:val="20"/>
                <w:szCs w:val="20"/>
              </w:rPr>
              <w:t xml:space="preserve">jegjësi të këtyre detyrave.  </w:t>
            </w:r>
          </w:p>
        </w:tc>
        <w:tc>
          <w:tcPr>
            <w:tcW w:w="6660"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753369">
        <w:tc>
          <w:tcPr>
            <w:tcW w:w="3060" w:type="dxa"/>
          </w:tcPr>
          <w:p w:rsidR="00DE0A79" w:rsidRPr="00B8730A" w:rsidRDefault="00B8730A" w:rsidP="00337142">
            <w:pPr>
              <w:spacing w:line="276" w:lineRule="auto"/>
              <w:rPr>
                <w:rFonts w:ascii="Times New Roman" w:hAnsi="Times New Roman" w:cs="Times New Roman"/>
                <w:sz w:val="20"/>
                <w:szCs w:val="20"/>
              </w:rPr>
            </w:pPr>
            <w:r w:rsidRPr="00B8730A">
              <w:rPr>
                <w:rFonts w:ascii="Times New Roman" w:hAnsi="Times New Roman" w:cs="Times New Roman"/>
                <w:b/>
                <w:sz w:val="20"/>
                <w:szCs w:val="20"/>
              </w:rPr>
              <w:t>Kriteri 3:</w:t>
            </w:r>
            <w:r w:rsidRPr="00B8730A">
              <w:rPr>
                <w:rFonts w:ascii="Times New Roman" w:hAnsi="Times New Roman" w:cs="Times New Roman"/>
                <w:sz w:val="20"/>
                <w:szCs w:val="20"/>
              </w:rPr>
              <w:t xml:space="preserve"> Në vlerësimin dhe sigurimin e cilësisë së programit të studimit duhet të garantohet përfshirja e njësisë përgjegjëse për programin e studimit, anëtarët e personelit akademik, ndihmës-akademik e administrative dhe stu</w:t>
            </w:r>
            <w:r w:rsidR="00337142">
              <w:rPr>
                <w:rFonts w:ascii="Times New Roman" w:hAnsi="Times New Roman" w:cs="Times New Roman"/>
                <w:sz w:val="20"/>
                <w:szCs w:val="20"/>
              </w:rPr>
              <w:t>dentët e programit të studimit.</w:t>
            </w:r>
          </w:p>
        </w:tc>
        <w:tc>
          <w:tcPr>
            <w:tcW w:w="6660"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753369">
        <w:tc>
          <w:tcPr>
            <w:tcW w:w="3060" w:type="dxa"/>
          </w:tcPr>
          <w:p w:rsidR="00DE0A79" w:rsidRPr="00B8730A" w:rsidRDefault="00B8730A" w:rsidP="00337142">
            <w:pPr>
              <w:spacing w:line="276" w:lineRule="auto"/>
              <w:rPr>
                <w:rFonts w:ascii="Times New Roman" w:hAnsi="Times New Roman" w:cs="Times New Roman"/>
                <w:sz w:val="20"/>
                <w:szCs w:val="20"/>
              </w:rPr>
            </w:pPr>
            <w:r w:rsidRPr="00B8730A">
              <w:rPr>
                <w:rFonts w:ascii="Times New Roman" w:hAnsi="Times New Roman" w:cs="Times New Roman"/>
                <w:b/>
                <w:sz w:val="20"/>
                <w:szCs w:val="20"/>
              </w:rPr>
              <w:t>Kriteri 4:</w:t>
            </w:r>
            <w:r w:rsidRPr="00B8730A">
              <w:rPr>
                <w:rFonts w:ascii="Times New Roman" w:hAnsi="Times New Roman" w:cs="Times New Roman"/>
                <w:sz w:val="20"/>
                <w:szCs w:val="20"/>
              </w:rPr>
              <w:t xml:space="preserve"> Përfshirja dhe aktivizimi i aktorëve të brendshëm në proceset ciklike të vlerësimit duhet të respektojë integritetin akademik dhe të shmangë çdo lloj diskriminimi apo pabarazie kundrejt personelit dhe stude</w:t>
            </w:r>
            <w:r w:rsidR="00337142">
              <w:rPr>
                <w:rFonts w:ascii="Times New Roman" w:hAnsi="Times New Roman" w:cs="Times New Roman"/>
                <w:sz w:val="20"/>
                <w:szCs w:val="20"/>
              </w:rPr>
              <w:t>ntëve.</w:t>
            </w:r>
          </w:p>
        </w:tc>
        <w:tc>
          <w:tcPr>
            <w:tcW w:w="6660"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753369">
        <w:tc>
          <w:tcPr>
            <w:tcW w:w="3060" w:type="dxa"/>
          </w:tcPr>
          <w:p w:rsidR="00DE0A79" w:rsidRPr="00B8730A" w:rsidRDefault="00B8730A" w:rsidP="00337142">
            <w:pPr>
              <w:spacing w:line="276" w:lineRule="auto"/>
              <w:rPr>
                <w:rFonts w:ascii="Times New Roman" w:hAnsi="Times New Roman" w:cs="Times New Roman"/>
                <w:sz w:val="20"/>
                <w:szCs w:val="20"/>
              </w:rPr>
            </w:pPr>
            <w:r w:rsidRPr="00B8730A">
              <w:rPr>
                <w:rFonts w:ascii="Times New Roman" w:hAnsi="Times New Roman" w:cs="Times New Roman"/>
                <w:b/>
                <w:sz w:val="20"/>
                <w:szCs w:val="20"/>
              </w:rPr>
              <w:t>Kriteri 5:</w:t>
            </w:r>
            <w:r w:rsidRPr="00B8730A">
              <w:rPr>
                <w:rFonts w:ascii="Times New Roman" w:hAnsi="Times New Roman" w:cs="Times New Roman"/>
                <w:sz w:val="20"/>
                <w:szCs w:val="20"/>
              </w:rPr>
              <w:t xml:space="preserve"> Pjesë aktive e proceseve të vlerësimit dhe sigurimit të brendshëm të cilësisë, mund të bëhen edhe bashkëpunëtorë dhe/ose ekspertë të jashtëm që kanë lidhje me programin e studimit apo mund të japin ekspertizë e mendime të vyera në lidhje me cilësinë e pr</w:t>
            </w:r>
            <w:r w:rsidR="00337142">
              <w:rPr>
                <w:rFonts w:ascii="Times New Roman" w:hAnsi="Times New Roman" w:cs="Times New Roman"/>
                <w:sz w:val="20"/>
                <w:szCs w:val="20"/>
              </w:rPr>
              <w:t>ogramit dhe përmirësimin e saj.</w:t>
            </w:r>
          </w:p>
        </w:tc>
        <w:tc>
          <w:tcPr>
            <w:tcW w:w="6660" w:type="dxa"/>
            <w:gridSpan w:val="4"/>
          </w:tcPr>
          <w:p w:rsidR="00DE0A79" w:rsidRPr="00A8276A" w:rsidRDefault="00DE0A79" w:rsidP="00243BA4">
            <w:pPr>
              <w:spacing w:line="276" w:lineRule="auto"/>
              <w:jc w:val="both"/>
              <w:rPr>
                <w:rFonts w:ascii="Times New Roman" w:hAnsi="Times New Roman" w:cs="Times New Roman"/>
                <w:b/>
              </w:rPr>
            </w:pPr>
          </w:p>
        </w:tc>
      </w:tr>
      <w:tr w:rsidR="00B8730A" w:rsidRPr="00A8276A" w:rsidTr="00753369">
        <w:tc>
          <w:tcPr>
            <w:tcW w:w="3060" w:type="dxa"/>
          </w:tcPr>
          <w:p w:rsidR="00B8730A" w:rsidRPr="00B8730A" w:rsidRDefault="00B8730A" w:rsidP="00B8730A">
            <w:pPr>
              <w:spacing w:line="276" w:lineRule="auto"/>
              <w:rPr>
                <w:rFonts w:ascii="Times New Roman" w:hAnsi="Times New Roman" w:cs="Times New Roman"/>
                <w:sz w:val="20"/>
                <w:szCs w:val="20"/>
              </w:rPr>
            </w:pPr>
            <w:r w:rsidRPr="00B8730A">
              <w:rPr>
                <w:rFonts w:ascii="Times New Roman" w:hAnsi="Times New Roman" w:cs="Times New Roman"/>
                <w:b/>
                <w:sz w:val="20"/>
                <w:szCs w:val="20"/>
              </w:rPr>
              <w:t>Kriteri 6:</w:t>
            </w:r>
            <w:r w:rsidRPr="00B8730A">
              <w:rPr>
                <w:rFonts w:ascii="Times New Roman" w:hAnsi="Times New Roman" w:cs="Times New Roman"/>
                <w:sz w:val="20"/>
                <w:szCs w:val="20"/>
              </w:rPr>
              <w:t xml:space="preserve"> Monitorimi i ecurisë akademike e programit dhe sigurimi i cilësisë, është pjesë e veprimtarisë së njësisë përgjegjës</w:t>
            </w:r>
            <w:r w:rsidR="00337142">
              <w:rPr>
                <w:rFonts w:ascii="Times New Roman" w:hAnsi="Times New Roman" w:cs="Times New Roman"/>
                <w:sz w:val="20"/>
                <w:szCs w:val="20"/>
              </w:rPr>
              <w:t>e që ofron programin dhe NJSBC.</w:t>
            </w:r>
          </w:p>
        </w:tc>
        <w:tc>
          <w:tcPr>
            <w:tcW w:w="6660" w:type="dxa"/>
            <w:gridSpan w:val="4"/>
          </w:tcPr>
          <w:p w:rsidR="00B8730A" w:rsidRPr="00A8276A" w:rsidRDefault="00B8730A" w:rsidP="00243BA4">
            <w:pPr>
              <w:spacing w:line="276" w:lineRule="auto"/>
              <w:jc w:val="both"/>
              <w:rPr>
                <w:rFonts w:ascii="Times New Roman" w:hAnsi="Times New Roman" w:cs="Times New Roman"/>
                <w:b/>
              </w:rPr>
            </w:pPr>
          </w:p>
        </w:tc>
      </w:tr>
      <w:tr w:rsidR="00C1352C" w:rsidRPr="00A8276A" w:rsidTr="00753369">
        <w:trPr>
          <w:trHeight w:val="315"/>
        </w:trPr>
        <w:tc>
          <w:tcPr>
            <w:tcW w:w="3060" w:type="dxa"/>
            <w:vMerge w:val="restart"/>
            <w:shd w:val="clear" w:color="auto" w:fill="F7CAAC" w:themeFill="accent2" w:themeFillTint="66"/>
          </w:tcPr>
          <w:p w:rsidR="00C1352C" w:rsidRPr="00A8276A" w:rsidRDefault="00C1352C" w:rsidP="00243BA4">
            <w:pPr>
              <w:spacing w:line="276" w:lineRule="auto"/>
              <w:rPr>
                <w:rFonts w:ascii="Times New Roman" w:hAnsi="Times New Roman" w:cs="Times New Roman"/>
                <w:b/>
              </w:rPr>
            </w:pPr>
            <w:r w:rsidRPr="00A8276A">
              <w:rPr>
                <w:rFonts w:ascii="Times New Roman" w:hAnsi="Times New Roman" w:cs="Times New Roman"/>
                <w:b/>
              </w:rPr>
              <w:t>Shkalla e përmbushjes së standardit</w:t>
            </w:r>
          </w:p>
        </w:tc>
        <w:tc>
          <w:tcPr>
            <w:tcW w:w="1608" w:type="dxa"/>
            <w:shd w:val="clear" w:color="auto" w:fill="FF000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Nuk përmbushet</w:t>
            </w:r>
          </w:p>
        </w:tc>
        <w:tc>
          <w:tcPr>
            <w:tcW w:w="1684" w:type="dxa"/>
            <w:shd w:val="clear" w:color="auto" w:fill="FF660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Përmbushet pjesërisht</w:t>
            </w:r>
          </w:p>
        </w:tc>
        <w:tc>
          <w:tcPr>
            <w:tcW w:w="1568" w:type="dxa"/>
            <w:shd w:val="clear" w:color="auto" w:fill="CCCC0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Përmbushet krye</w:t>
            </w:r>
            <w:r w:rsidRPr="00A8276A">
              <w:rPr>
                <w:rFonts w:ascii="Times New Roman" w:hAnsi="Times New Roman" w:cs="Times New Roman"/>
                <w:b/>
                <w:shd w:val="clear" w:color="auto" w:fill="CCCC00"/>
              </w:rPr>
              <w:t>s</w:t>
            </w:r>
            <w:r w:rsidRPr="00A8276A">
              <w:rPr>
                <w:rFonts w:ascii="Times New Roman" w:hAnsi="Times New Roman" w:cs="Times New Roman"/>
                <w:b/>
              </w:rPr>
              <w:t>isht</w:t>
            </w:r>
          </w:p>
        </w:tc>
        <w:tc>
          <w:tcPr>
            <w:tcW w:w="1800" w:type="dxa"/>
            <w:shd w:val="clear" w:color="auto" w:fill="92D05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Përmbushet plotësisht</w:t>
            </w:r>
          </w:p>
        </w:tc>
      </w:tr>
      <w:tr w:rsidR="00C1352C" w:rsidRPr="00A8276A" w:rsidTr="00753369">
        <w:trPr>
          <w:trHeight w:val="350"/>
        </w:trPr>
        <w:tc>
          <w:tcPr>
            <w:tcW w:w="3060" w:type="dxa"/>
            <w:vMerge/>
            <w:shd w:val="clear" w:color="auto" w:fill="F7CAAC" w:themeFill="accent2" w:themeFillTint="66"/>
          </w:tcPr>
          <w:p w:rsidR="00C1352C" w:rsidRPr="00A8276A" w:rsidRDefault="00C1352C" w:rsidP="00243BA4">
            <w:pPr>
              <w:spacing w:line="276" w:lineRule="auto"/>
              <w:rPr>
                <w:rFonts w:ascii="Times New Roman" w:hAnsi="Times New Roman" w:cs="Times New Roman"/>
                <w:b/>
              </w:rPr>
            </w:pPr>
          </w:p>
        </w:tc>
        <w:tc>
          <w:tcPr>
            <w:tcW w:w="1608" w:type="dxa"/>
          </w:tcPr>
          <w:p w:rsidR="00C1352C" w:rsidRPr="00A8276A" w:rsidRDefault="00C1352C" w:rsidP="00243BA4">
            <w:pPr>
              <w:spacing w:line="276" w:lineRule="auto"/>
              <w:jc w:val="both"/>
              <w:rPr>
                <w:rFonts w:ascii="Times New Roman" w:hAnsi="Times New Roman" w:cs="Times New Roman"/>
                <w:b/>
              </w:rPr>
            </w:pPr>
          </w:p>
        </w:tc>
        <w:tc>
          <w:tcPr>
            <w:tcW w:w="1684" w:type="dxa"/>
          </w:tcPr>
          <w:p w:rsidR="00C1352C" w:rsidRPr="00A8276A" w:rsidRDefault="00C1352C" w:rsidP="00243BA4">
            <w:pPr>
              <w:spacing w:line="276" w:lineRule="auto"/>
              <w:jc w:val="both"/>
              <w:rPr>
                <w:rFonts w:ascii="Times New Roman" w:hAnsi="Times New Roman" w:cs="Times New Roman"/>
                <w:b/>
              </w:rPr>
            </w:pPr>
          </w:p>
        </w:tc>
        <w:tc>
          <w:tcPr>
            <w:tcW w:w="1568" w:type="dxa"/>
          </w:tcPr>
          <w:p w:rsidR="00C1352C" w:rsidRPr="00A8276A" w:rsidRDefault="00C1352C" w:rsidP="00243BA4">
            <w:pPr>
              <w:spacing w:line="276" w:lineRule="auto"/>
              <w:jc w:val="both"/>
              <w:rPr>
                <w:rFonts w:ascii="Times New Roman" w:hAnsi="Times New Roman" w:cs="Times New Roman"/>
                <w:b/>
              </w:rPr>
            </w:pPr>
          </w:p>
        </w:tc>
        <w:tc>
          <w:tcPr>
            <w:tcW w:w="1800" w:type="dxa"/>
          </w:tcPr>
          <w:p w:rsidR="00C1352C" w:rsidRPr="00A8276A" w:rsidRDefault="00C1352C" w:rsidP="00243BA4">
            <w:pPr>
              <w:spacing w:line="276" w:lineRule="auto"/>
              <w:jc w:val="both"/>
              <w:rPr>
                <w:rFonts w:ascii="Times New Roman" w:hAnsi="Times New Roman" w:cs="Times New Roman"/>
                <w:b/>
              </w:rPr>
            </w:pPr>
          </w:p>
        </w:tc>
      </w:tr>
    </w:tbl>
    <w:p w:rsidR="00DE0A79" w:rsidRPr="003F3820" w:rsidRDefault="00DE0A79" w:rsidP="003F3820">
      <w:pPr>
        <w:spacing w:line="276" w:lineRule="auto"/>
        <w:jc w:val="both"/>
        <w:rPr>
          <w:rFonts w:ascii="Times New Roman" w:hAnsi="Times New Roman" w:cs="Times New Roman"/>
          <w:b/>
        </w:rPr>
      </w:pPr>
    </w:p>
    <w:tbl>
      <w:tblPr>
        <w:tblStyle w:val="TableGrid"/>
        <w:tblW w:w="9723" w:type="dxa"/>
        <w:tblInd w:w="-185" w:type="dxa"/>
        <w:tblLook w:val="04A0" w:firstRow="1" w:lastRow="0" w:firstColumn="1" w:lastColumn="0" w:noHBand="0" w:noVBand="1"/>
      </w:tblPr>
      <w:tblGrid>
        <w:gridCol w:w="3060"/>
        <w:gridCol w:w="1663"/>
        <w:gridCol w:w="1577"/>
        <w:gridCol w:w="1620"/>
        <w:gridCol w:w="1803"/>
      </w:tblGrid>
      <w:tr w:rsidR="00C1352C" w:rsidRPr="00A8276A" w:rsidTr="00EA23C7">
        <w:tc>
          <w:tcPr>
            <w:tcW w:w="9723" w:type="dxa"/>
            <w:gridSpan w:val="5"/>
            <w:shd w:val="clear" w:color="auto" w:fill="F7CAAC" w:themeFill="accent2" w:themeFillTint="66"/>
          </w:tcPr>
          <w:p w:rsidR="00C1352C" w:rsidRPr="00A8276A" w:rsidRDefault="00C1352C" w:rsidP="00243BA4">
            <w:pPr>
              <w:ind w:left="1843" w:hanging="1843"/>
              <w:jc w:val="both"/>
              <w:rPr>
                <w:rFonts w:ascii="Times New Roman" w:eastAsia="Times New Roman" w:hAnsi="Times New Roman" w:cs="Times New Roman"/>
                <w:b/>
                <w:bCs/>
                <w:lang w:val="sq-AL"/>
              </w:rPr>
            </w:pPr>
            <w:r w:rsidRPr="00A8276A">
              <w:rPr>
                <w:rFonts w:ascii="Times New Roman" w:eastAsia="Times New Roman" w:hAnsi="Times New Roman" w:cs="Times New Roman"/>
                <w:b/>
                <w:bCs/>
                <w:lang w:val="sq-AL"/>
              </w:rPr>
              <w:t xml:space="preserve">Standardi VI.5  </w:t>
            </w:r>
          </w:p>
          <w:p w:rsidR="00C1352C" w:rsidRPr="00A8276A" w:rsidRDefault="00B8730A" w:rsidP="00DE0A79">
            <w:pPr>
              <w:jc w:val="both"/>
              <w:rPr>
                <w:rFonts w:ascii="Times New Roman" w:eastAsia="Times New Roman" w:hAnsi="Times New Roman" w:cs="Times New Roman"/>
                <w:b/>
                <w:bCs/>
                <w:lang w:val="sq-AL"/>
              </w:rPr>
            </w:pPr>
            <w:r w:rsidRPr="00B8730A">
              <w:rPr>
                <w:rFonts w:ascii="Times New Roman" w:eastAsia="Times New Roman" w:hAnsi="Times New Roman" w:cs="Times New Roman"/>
                <w:b/>
                <w:bCs/>
                <w:lang w:val="sq-AL"/>
              </w:rPr>
              <w:t>Politikat, proceset dhe veprimtaritë për Sigurimin e Brendshëm të cilësisë për programin e studimit, duhet të jenë publike, transparente dhe efektive, dhe të synojnë krijimin e Kulturës së Brendshme të Cilësisë.</w:t>
            </w:r>
          </w:p>
        </w:tc>
      </w:tr>
      <w:tr w:rsidR="00C1352C" w:rsidRPr="00A8276A" w:rsidTr="00EA23C7">
        <w:trPr>
          <w:trHeight w:val="395"/>
        </w:trPr>
        <w:tc>
          <w:tcPr>
            <w:tcW w:w="3060" w:type="dxa"/>
            <w:shd w:val="clear" w:color="auto" w:fill="C5E0B3" w:themeFill="accent6" w:themeFillTint="66"/>
          </w:tcPr>
          <w:p w:rsidR="00C1352C" w:rsidRPr="00A8276A" w:rsidRDefault="00C1352C" w:rsidP="00243BA4">
            <w:pPr>
              <w:spacing w:line="276" w:lineRule="auto"/>
              <w:jc w:val="both"/>
              <w:rPr>
                <w:rFonts w:ascii="Times New Roman" w:eastAsia="Times New Roman" w:hAnsi="Times New Roman" w:cs="Times New Roman"/>
                <w:b/>
                <w:bCs/>
                <w:lang w:val="sq-AL"/>
              </w:rPr>
            </w:pPr>
            <w:r w:rsidRPr="00A8276A">
              <w:rPr>
                <w:rFonts w:ascii="Times New Roman" w:eastAsia="Times New Roman" w:hAnsi="Times New Roman" w:cs="Times New Roman"/>
                <w:b/>
                <w:bCs/>
                <w:lang w:val="sq-AL"/>
              </w:rPr>
              <w:t>Kriteret</w:t>
            </w:r>
          </w:p>
        </w:tc>
        <w:tc>
          <w:tcPr>
            <w:tcW w:w="6663" w:type="dxa"/>
            <w:gridSpan w:val="4"/>
            <w:shd w:val="clear" w:color="auto" w:fill="C5E0B3" w:themeFill="accent6" w:themeFillTint="66"/>
          </w:tcPr>
          <w:p w:rsidR="00C1352C" w:rsidRPr="00A8276A" w:rsidRDefault="00C1352C" w:rsidP="00337142">
            <w:pPr>
              <w:spacing w:line="276" w:lineRule="auto"/>
              <w:jc w:val="center"/>
              <w:rPr>
                <w:rFonts w:ascii="Times New Roman" w:eastAsia="Times New Roman" w:hAnsi="Times New Roman" w:cs="Times New Roman"/>
                <w:b/>
                <w:bCs/>
                <w:lang w:val="sq-AL"/>
              </w:rPr>
            </w:pPr>
            <w:r w:rsidRPr="00A8276A">
              <w:rPr>
                <w:rFonts w:ascii="Times New Roman" w:eastAsia="Times New Roman" w:hAnsi="Times New Roman" w:cs="Times New Roman"/>
                <w:b/>
                <w:bCs/>
                <w:lang w:val="sq-AL"/>
              </w:rPr>
              <w:t>Vlerësimi i ekspertëve</w:t>
            </w:r>
          </w:p>
        </w:tc>
      </w:tr>
      <w:tr w:rsidR="00DE0A79" w:rsidRPr="00A8276A" w:rsidTr="00EA23C7">
        <w:tc>
          <w:tcPr>
            <w:tcW w:w="3060" w:type="dxa"/>
          </w:tcPr>
          <w:p w:rsidR="00DE0A79" w:rsidRPr="00DF675B" w:rsidRDefault="00DF675B" w:rsidP="00337142">
            <w:pPr>
              <w:spacing w:line="276" w:lineRule="auto"/>
              <w:rPr>
                <w:rFonts w:ascii="Times New Roman" w:hAnsi="Times New Roman" w:cs="Times New Roman"/>
                <w:sz w:val="20"/>
                <w:szCs w:val="20"/>
              </w:rPr>
            </w:pPr>
            <w:r w:rsidRPr="00DF675B">
              <w:rPr>
                <w:rFonts w:ascii="Times New Roman" w:hAnsi="Times New Roman" w:cs="Times New Roman"/>
                <w:b/>
                <w:sz w:val="20"/>
                <w:szCs w:val="20"/>
              </w:rPr>
              <w:lastRenderedPageBreak/>
              <w:t>Kriteri 1:</w:t>
            </w:r>
            <w:r w:rsidRPr="00DF675B">
              <w:rPr>
                <w:rFonts w:ascii="Times New Roman" w:hAnsi="Times New Roman" w:cs="Times New Roman"/>
                <w:sz w:val="20"/>
                <w:szCs w:val="20"/>
              </w:rPr>
              <w:t xml:space="preserve"> Politika, strategjia, organizimi dhe veprimtaritë në kuadër të sistemit të Sigurimit të Brendshëm të Cilësisë për programin e studimit janë transparente dhe bëhen publike për studentët dhe të gjithë</w:t>
            </w:r>
            <w:r w:rsidR="00337142">
              <w:rPr>
                <w:rFonts w:ascii="Times New Roman" w:hAnsi="Times New Roman" w:cs="Times New Roman"/>
                <w:sz w:val="20"/>
                <w:szCs w:val="20"/>
              </w:rPr>
              <w:t xml:space="preserve"> të interesuarit.</w:t>
            </w:r>
          </w:p>
        </w:tc>
        <w:tc>
          <w:tcPr>
            <w:tcW w:w="6663"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EA23C7">
        <w:tc>
          <w:tcPr>
            <w:tcW w:w="3060" w:type="dxa"/>
          </w:tcPr>
          <w:p w:rsidR="00DE0A79" w:rsidRPr="00DF675B" w:rsidRDefault="00DF675B" w:rsidP="00337142">
            <w:pPr>
              <w:spacing w:line="276" w:lineRule="auto"/>
              <w:rPr>
                <w:rFonts w:ascii="Times New Roman" w:hAnsi="Times New Roman" w:cs="Times New Roman"/>
                <w:sz w:val="20"/>
                <w:szCs w:val="20"/>
              </w:rPr>
            </w:pPr>
            <w:r w:rsidRPr="00DF675B">
              <w:rPr>
                <w:rFonts w:ascii="Times New Roman" w:hAnsi="Times New Roman" w:cs="Times New Roman"/>
                <w:b/>
                <w:sz w:val="20"/>
                <w:szCs w:val="20"/>
              </w:rPr>
              <w:t>Kriteri 2:</w:t>
            </w:r>
            <w:r w:rsidRPr="00DF675B">
              <w:rPr>
                <w:rFonts w:ascii="Times New Roman" w:hAnsi="Times New Roman" w:cs="Times New Roman"/>
                <w:sz w:val="20"/>
                <w:szCs w:val="20"/>
              </w:rPr>
              <w:t xml:space="preserve"> Institucioni dhe njësia përgjegjëse publikon rezultatet e vlerësimeve të programit të studimit, duke respektuar lirinë dhe etikën akademike, si dhe legjisla</w:t>
            </w:r>
            <w:r w:rsidR="00337142">
              <w:rPr>
                <w:rFonts w:ascii="Times New Roman" w:hAnsi="Times New Roman" w:cs="Times New Roman"/>
                <w:sz w:val="20"/>
                <w:szCs w:val="20"/>
              </w:rPr>
              <w:t>cionin për të dhënat personale.</w:t>
            </w:r>
          </w:p>
        </w:tc>
        <w:tc>
          <w:tcPr>
            <w:tcW w:w="6663"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EA23C7">
        <w:tc>
          <w:tcPr>
            <w:tcW w:w="3060" w:type="dxa"/>
          </w:tcPr>
          <w:p w:rsidR="00DE0A79" w:rsidRPr="00DF675B" w:rsidRDefault="00DF675B" w:rsidP="00337142">
            <w:pPr>
              <w:spacing w:line="276" w:lineRule="auto"/>
              <w:rPr>
                <w:rFonts w:ascii="Times New Roman" w:hAnsi="Times New Roman" w:cs="Times New Roman"/>
                <w:sz w:val="20"/>
                <w:szCs w:val="20"/>
              </w:rPr>
            </w:pPr>
            <w:r w:rsidRPr="00DF675B">
              <w:rPr>
                <w:rFonts w:ascii="Times New Roman" w:hAnsi="Times New Roman" w:cs="Times New Roman"/>
                <w:b/>
                <w:sz w:val="20"/>
                <w:szCs w:val="20"/>
              </w:rPr>
              <w:t>Kriteri 3:</w:t>
            </w:r>
            <w:r w:rsidRPr="00DF675B">
              <w:rPr>
                <w:rFonts w:ascii="Times New Roman" w:hAnsi="Times New Roman" w:cs="Times New Roman"/>
                <w:sz w:val="20"/>
                <w:szCs w:val="20"/>
              </w:rPr>
              <w:t xml:space="preserve"> Rezultatet e vlerësimit duhet të shoqërohen me një plan masash, që adresojnë dhe synojnë përmirësimin e mangë</w:t>
            </w:r>
            <w:r w:rsidR="00337142">
              <w:rPr>
                <w:rFonts w:ascii="Times New Roman" w:hAnsi="Times New Roman" w:cs="Times New Roman"/>
                <w:sz w:val="20"/>
                <w:szCs w:val="20"/>
              </w:rPr>
              <w:t>sive e dobësive të evidentuara.</w:t>
            </w:r>
          </w:p>
        </w:tc>
        <w:tc>
          <w:tcPr>
            <w:tcW w:w="6663"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EA23C7">
        <w:tc>
          <w:tcPr>
            <w:tcW w:w="3060" w:type="dxa"/>
          </w:tcPr>
          <w:p w:rsidR="00DE0A79" w:rsidRPr="00DF675B" w:rsidRDefault="00DF675B" w:rsidP="00337142">
            <w:pPr>
              <w:spacing w:line="276" w:lineRule="auto"/>
              <w:rPr>
                <w:rFonts w:ascii="Times New Roman" w:hAnsi="Times New Roman" w:cs="Times New Roman"/>
                <w:sz w:val="20"/>
                <w:szCs w:val="20"/>
              </w:rPr>
            </w:pPr>
            <w:r w:rsidRPr="00DF675B">
              <w:rPr>
                <w:rFonts w:ascii="Times New Roman" w:hAnsi="Times New Roman" w:cs="Times New Roman"/>
                <w:b/>
                <w:sz w:val="20"/>
                <w:szCs w:val="20"/>
              </w:rPr>
              <w:t>Kriteri 4:</w:t>
            </w:r>
            <w:r w:rsidRPr="00DF675B">
              <w:rPr>
                <w:rFonts w:ascii="Times New Roman" w:hAnsi="Times New Roman" w:cs="Times New Roman"/>
                <w:sz w:val="20"/>
                <w:szCs w:val="20"/>
              </w:rPr>
              <w:t xml:space="preserve"> Institucioni vlerëson dhe siguron efektivitetin dhe impaktin e veprimtarive në kuadër të monitorimit e vlerësimit të cilësisë, në përmirësimin në vijim të cil</w:t>
            </w:r>
            <w:r w:rsidR="00337142">
              <w:rPr>
                <w:rFonts w:ascii="Times New Roman" w:hAnsi="Times New Roman" w:cs="Times New Roman"/>
                <w:sz w:val="20"/>
                <w:szCs w:val="20"/>
              </w:rPr>
              <w:t>ësisë së programit të studimit.</w:t>
            </w:r>
          </w:p>
        </w:tc>
        <w:tc>
          <w:tcPr>
            <w:tcW w:w="6663"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EA23C7">
        <w:tc>
          <w:tcPr>
            <w:tcW w:w="3060" w:type="dxa"/>
          </w:tcPr>
          <w:p w:rsidR="00DE0A79" w:rsidRPr="00DF675B" w:rsidRDefault="00DF675B" w:rsidP="00337142">
            <w:pPr>
              <w:spacing w:line="276" w:lineRule="auto"/>
              <w:rPr>
                <w:rFonts w:ascii="Times New Roman" w:hAnsi="Times New Roman" w:cs="Times New Roman"/>
                <w:sz w:val="20"/>
                <w:szCs w:val="20"/>
              </w:rPr>
            </w:pPr>
            <w:r w:rsidRPr="00B5591E">
              <w:rPr>
                <w:rFonts w:ascii="Times New Roman" w:hAnsi="Times New Roman" w:cs="Times New Roman"/>
                <w:b/>
                <w:sz w:val="20"/>
                <w:szCs w:val="20"/>
              </w:rPr>
              <w:t>Kriteri 5:</w:t>
            </w:r>
            <w:r w:rsidRPr="00DF675B">
              <w:rPr>
                <w:rFonts w:ascii="Times New Roman" w:hAnsi="Times New Roman" w:cs="Times New Roman"/>
                <w:sz w:val="20"/>
                <w:szCs w:val="20"/>
              </w:rPr>
              <w:t xml:space="preserve"> Institucioni dhe njësia përgjegjëse organizon veprimtari periodike me personelin akademik </w:t>
            </w:r>
            <w:r w:rsidR="00B5591E" w:rsidRPr="00DF675B">
              <w:rPr>
                <w:rFonts w:ascii="Times New Roman" w:hAnsi="Times New Roman" w:cs="Times New Roman"/>
                <w:sz w:val="20"/>
                <w:szCs w:val="20"/>
              </w:rPr>
              <w:t>përgjegjëse dhe</w:t>
            </w:r>
            <w:r w:rsidRPr="00DF675B">
              <w:rPr>
                <w:rFonts w:ascii="Times New Roman" w:hAnsi="Times New Roman" w:cs="Times New Roman"/>
                <w:sz w:val="20"/>
                <w:szCs w:val="20"/>
              </w:rPr>
              <w:t xml:space="preserve"> studentët për informimin dhe ndërgjegjësimin e tyre për sigurimin dhe përmirësimin e afat</w:t>
            </w:r>
            <w:r w:rsidR="00337142">
              <w:rPr>
                <w:rFonts w:ascii="Times New Roman" w:hAnsi="Times New Roman" w:cs="Times New Roman"/>
                <w:sz w:val="20"/>
                <w:szCs w:val="20"/>
              </w:rPr>
              <w:t>gjatë të cilësisë së programit.</w:t>
            </w:r>
          </w:p>
        </w:tc>
        <w:tc>
          <w:tcPr>
            <w:tcW w:w="6663" w:type="dxa"/>
            <w:gridSpan w:val="4"/>
          </w:tcPr>
          <w:p w:rsidR="00DE0A79" w:rsidRPr="00A8276A" w:rsidRDefault="00DE0A79" w:rsidP="00243BA4">
            <w:pPr>
              <w:spacing w:line="276" w:lineRule="auto"/>
              <w:jc w:val="both"/>
              <w:rPr>
                <w:rFonts w:ascii="Times New Roman" w:hAnsi="Times New Roman" w:cs="Times New Roman"/>
                <w:b/>
              </w:rPr>
            </w:pPr>
          </w:p>
        </w:tc>
      </w:tr>
      <w:tr w:rsidR="00C1352C" w:rsidRPr="00A8276A" w:rsidTr="00EA23C7">
        <w:trPr>
          <w:trHeight w:val="315"/>
        </w:trPr>
        <w:tc>
          <w:tcPr>
            <w:tcW w:w="3060" w:type="dxa"/>
            <w:vMerge w:val="restart"/>
            <w:shd w:val="clear" w:color="auto" w:fill="F7CAAC" w:themeFill="accent2" w:themeFillTint="66"/>
          </w:tcPr>
          <w:p w:rsidR="00C1352C" w:rsidRPr="00A8276A" w:rsidRDefault="00C1352C" w:rsidP="00243BA4">
            <w:pPr>
              <w:spacing w:line="276" w:lineRule="auto"/>
              <w:rPr>
                <w:rFonts w:ascii="Times New Roman" w:hAnsi="Times New Roman" w:cs="Times New Roman"/>
                <w:b/>
              </w:rPr>
            </w:pPr>
            <w:r w:rsidRPr="00A8276A">
              <w:rPr>
                <w:rFonts w:ascii="Times New Roman" w:hAnsi="Times New Roman" w:cs="Times New Roman"/>
                <w:b/>
              </w:rPr>
              <w:t>Shkalla e përmbushjes së standardit</w:t>
            </w:r>
          </w:p>
        </w:tc>
        <w:tc>
          <w:tcPr>
            <w:tcW w:w="1663" w:type="dxa"/>
            <w:shd w:val="clear" w:color="auto" w:fill="FF000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Nuk përmbushet</w:t>
            </w:r>
          </w:p>
        </w:tc>
        <w:tc>
          <w:tcPr>
            <w:tcW w:w="1577" w:type="dxa"/>
            <w:shd w:val="clear" w:color="auto" w:fill="FF660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Përmbushet pjesërisht</w:t>
            </w:r>
          </w:p>
        </w:tc>
        <w:tc>
          <w:tcPr>
            <w:tcW w:w="1620" w:type="dxa"/>
            <w:shd w:val="clear" w:color="auto" w:fill="CCCC0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Përmbushet krye</w:t>
            </w:r>
            <w:r w:rsidRPr="00A8276A">
              <w:rPr>
                <w:rFonts w:ascii="Times New Roman" w:hAnsi="Times New Roman" w:cs="Times New Roman"/>
                <w:b/>
                <w:shd w:val="clear" w:color="auto" w:fill="CCCC00"/>
              </w:rPr>
              <w:t>s</w:t>
            </w:r>
            <w:r w:rsidRPr="00A8276A">
              <w:rPr>
                <w:rFonts w:ascii="Times New Roman" w:hAnsi="Times New Roman" w:cs="Times New Roman"/>
                <w:b/>
              </w:rPr>
              <w:t>isht</w:t>
            </w:r>
          </w:p>
        </w:tc>
        <w:tc>
          <w:tcPr>
            <w:tcW w:w="1803" w:type="dxa"/>
            <w:shd w:val="clear" w:color="auto" w:fill="92D05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Përmbushet plotësisht</w:t>
            </w:r>
          </w:p>
        </w:tc>
      </w:tr>
      <w:tr w:rsidR="00C1352C" w:rsidRPr="00A8276A" w:rsidTr="00EA23C7">
        <w:trPr>
          <w:trHeight w:val="368"/>
        </w:trPr>
        <w:tc>
          <w:tcPr>
            <w:tcW w:w="3060" w:type="dxa"/>
            <w:vMerge/>
            <w:shd w:val="clear" w:color="auto" w:fill="F7CAAC" w:themeFill="accent2" w:themeFillTint="66"/>
          </w:tcPr>
          <w:p w:rsidR="00C1352C" w:rsidRPr="00A8276A" w:rsidRDefault="00C1352C" w:rsidP="00243BA4">
            <w:pPr>
              <w:spacing w:line="276" w:lineRule="auto"/>
              <w:rPr>
                <w:rFonts w:ascii="Times New Roman" w:hAnsi="Times New Roman" w:cs="Times New Roman"/>
                <w:b/>
              </w:rPr>
            </w:pPr>
          </w:p>
        </w:tc>
        <w:tc>
          <w:tcPr>
            <w:tcW w:w="1663" w:type="dxa"/>
          </w:tcPr>
          <w:p w:rsidR="00C1352C" w:rsidRPr="00A8276A" w:rsidRDefault="00C1352C" w:rsidP="00243BA4">
            <w:pPr>
              <w:spacing w:line="276" w:lineRule="auto"/>
              <w:jc w:val="both"/>
              <w:rPr>
                <w:rFonts w:ascii="Times New Roman" w:hAnsi="Times New Roman" w:cs="Times New Roman"/>
                <w:b/>
              </w:rPr>
            </w:pPr>
          </w:p>
        </w:tc>
        <w:tc>
          <w:tcPr>
            <w:tcW w:w="1577" w:type="dxa"/>
          </w:tcPr>
          <w:p w:rsidR="00C1352C" w:rsidRPr="00A8276A" w:rsidRDefault="00C1352C" w:rsidP="00243BA4">
            <w:pPr>
              <w:spacing w:line="276" w:lineRule="auto"/>
              <w:jc w:val="both"/>
              <w:rPr>
                <w:rFonts w:ascii="Times New Roman" w:hAnsi="Times New Roman" w:cs="Times New Roman"/>
                <w:b/>
              </w:rPr>
            </w:pPr>
          </w:p>
        </w:tc>
        <w:tc>
          <w:tcPr>
            <w:tcW w:w="1620" w:type="dxa"/>
          </w:tcPr>
          <w:p w:rsidR="00C1352C" w:rsidRPr="00A8276A" w:rsidRDefault="00C1352C" w:rsidP="00243BA4">
            <w:pPr>
              <w:spacing w:line="276" w:lineRule="auto"/>
              <w:jc w:val="both"/>
              <w:rPr>
                <w:rFonts w:ascii="Times New Roman" w:hAnsi="Times New Roman" w:cs="Times New Roman"/>
                <w:b/>
              </w:rPr>
            </w:pPr>
          </w:p>
        </w:tc>
        <w:tc>
          <w:tcPr>
            <w:tcW w:w="1803" w:type="dxa"/>
          </w:tcPr>
          <w:p w:rsidR="00C1352C" w:rsidRPr="00A8276A" w:rsidRDefault="00C1352C" w:rsidP="00243BA4">
            <w:pPr>
              <w:spacing w:line="276" w:lineRule="auto"/>
              <w:jc w:val="both"/>
              <w:rPr>
                <w:rFonts w:ascii="Times New Roman" w:hAnsi="Times New Roman" w:cs="Times New Roman"/>
                <w:b/>
              </w:rPr>
            </w:pPr>
          </w:p>
        </w:tc>
      </w:tr>
    </w:tbl>
    <w:p w:rsidR="00B5591E" w:rsidRPr="00A8276A" w:rsidRDefault="00B5591E" w:rsidP="00C1352C">
      <w:pPr>
        <w:pStyle w:val="ListParagraph"/>
        <w:spacing w:line="276" w:lineRule="auto"/>
        <w:ind w:left="1350"/>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710"/>
        <w:gridCol w:w="1530"/>
        <w:gridCol w:w="1620"/>
        <w:gridCol w:w="1800"/>
      </w:tblGrid>
      <w:tr w:rsidR="00C1352C" w:rsidRPr="00A8276A" w:rsidTr="00EA23C7">
        <w:trPr>
          <w:trHeight w:val="315"/>
        </w:trPr>
        <w:tc>
          <w:tcPr>
            <w:tcW w:w="3060" w:type="dxa"/>
            <w:vMerge w:val="restart"/>
          </w:tcPr>
          <w:p w:rsidR="00C1352C" w:rsidRPr="00A8276A" w:rsidRDefault="00C1352C" w:rsidP="00243BA4">
            <w:pPr>
              <w:spacing w:line="276" w:lineRule="auto"/>
              <w:rPr>
                <w:rFonts w:ascii="Times New Roman" w:hAnsi="Times New Roman" w:cs="Times New Roman"/>
                <w:b/>
              </w:rPr>
            </w:pPr>
            <w:r w:rsidRPr="00A8276A">
              <w:rPr>
                <w:rFonts w:ascii="Times New Roman" w:hAnsi="Times New Roman" w:cs="Times New Roman"/>
                <w:b/>
              </w:rPr>
              <w:t>Shkalla e përmbushjes së standardeve të fushës VI</w:t>
            </w:r>
          </w:p>
        </w:tc>
        <w:tc>
          <w:tcPr>
            <w:tcW w:w="1710" w:type="dxa"/>
            <w:shd w:val="clear" w:color="auto" w:fill="FF000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Nuk përmbushet</w:t>
            </w:r>
          </w:p>
        </w:tc>
        <w:tc>
          <w:tcPr>
            <w:tcW w:w="1530" w:type="dxa"/>
            <w:shd w:val="clear" w:color="auto" w:fill="FF660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Përmbushet pjesërisht</w:t>
            </w:r>
          </w:p>
        </w:tc>
        <w:tc>
          <w:tcPr>
            <w:tcW w:w="1620" w:type="dxa"/>
            <w:shd w:val="clear" w:color="auto" w:fill="CCCC0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Përmbushet kryesisht</w:t>
            </w:r>
          </w:p>
        </w:tc>
        <w:tc>
          <w:tcPr>
            <w:tcW w:w="1800" w:type="dxa"/>
            <w:shd w:val="clear" w:color="auto" w:fill="92D05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Përmbushet plotësisht</w:t>
            </w:r>
          </w:p>
        </w:tc>
      </w:tr>
      <w:tr w:rsidR="00C1352C" w:rsidRPr="00A8276A" w:rsidTr="00EA23C7">
        <w:trPr>
          <w:trHeight w:val="315"/>
        </w:trPr>
        <w:tc>
          <w:tcPr>
            <w:tcW w:w="3060" w:type="dxa"/>
            <w:vMerge/>
          </w:tcPr>
          <w:p w:rsidR="00C1352C" w:rsidRPr="00A8276A" w:rsidRDefault="00C1352C" w:rsidP="00243BA4">
            <w:pPr>
              <w:spacing w:line="276" w:lineRule="auto"/>
              <w:rPr>
                <w:rFonts w:ascii="Times New Roman" w:hAnsi="Times New Roman" w:cs="Times New Roman"/>
                <w:b/>
              </w:rPr>
            </w:pPr>
          </w:p>
        </w:tc>
        <w:tc>
          <w:tcPr>
            <w:tcW w:w="1710" w:type="dxa"/>
          </w:tcPr>
          <w:p w:rsidR="00C1352C" w:rsidRPr="00A8276A" w:rsidRDefault="00C1352C" w:rsidP="00243BA4">
            <w:pPr>
              <w:spacing w:line="276" w:lineRule="auto"/>
              <w:jc w:val="both"/>
              <w:rPr>
                <w:rFonts w:ascii="Times New Roman" w:hAnsi="Times New Roman" w:cs="Times New Roman"/>
                <w:b/>
              </w:rPr>
            </w:pPr>
          </w:p>
        </w:tc>
        <w:tc>
          <w:tcPr>
            <w:tcW w:w="1530" w:type="dxa"/>
          </w:tcPr>
          <w:p w:rsidR="00C1352C" w:rsidRPr="00A8276A" w:rsidRDefault="00C1352C" w:rsidP="00243BA4">
            <w:pPr>
              <w:spacing w:line="276" w:lineRule="auto"/>
              <w:jc w:val="both"/>
              <w:rPr>
                <w:rFonts w:ascii="Times New Roman" w:hAnsi="Times New Roman" w:cs="Times New Roman"/>
                <w:b/>
              </w:rPr>
            </w:pPr>
          </w:p>
        </w:tc>
        <w:tc>
          <w:tcPr>
            <w:tcW w:w="1620" w:type="dxa"/>
          </w:tcPr>
          <w:p w:rsidR="00C1352C" w:rsidRPr="00A8276A" w:rsidRDefault="00C1352C" w:rsidP="00502F73">
            <w:pPr>
              <w:spacing w:line="276" w:lineRule="auto"/>
              <w:jc w:val="center"/>
              <w:rPr>
                <w:rFonts w:ascii="Times New Roman" w:hAnsi="Times New Roman" w:cs="Times New Roman"/>
                <w:b/>
              </w:rPr>
            </w:pPr>
          </w:p>
        </w:tc>
        <w:tc>
          <w:tcPr>
            <w:tcW w:w="1800" w:type="dxa"/>
          </w:tcPr>
          <w:p w:rsidR="00C1352C" w:rsidRPr="00A8276A" w:rsidRDefault="00C1352C" w:rsidP="00243BA4">
            <w:pPr>
              <w:spacing w:line="276" w:lineRule="auto"/>
              <w:jc w:val="both"/>
              <w:rPr>
                <w:rFonts w:ascii="Times New Roman" w:hAnsi="Times New Roman" w:cs="Times New Roman"/>
                <w:b/>
              </w:rPr>
            </w:pPr>
          </w:p>
        </w:tc>
      </w:tr>
    </w:tbl>
    <w:p w:rsidR="00B5591E" w:rsidRDefault="00B5591E" w:rsidP="00C1352C">
      <w:pPr>
        <w:rPr>
          <w:rFonts w:ascii="Times New Roman" w:eastAsia="?????? Pro W3" w:hAnsi="Times New Roman" w:cs="Times New Roman"/>
          <w:b/>
          <w:sz w:val="24"/>
          <w:szCs w:val="24"/>
          <w:lang w:val="sq-AL"/>
        </w:rPr>
      </w:pPr>
    </w:p>
    <w:p w:rsidR="00B5591E" w:rsidRDefault="00B5591E" w:rsidP="00C1352C">
      <w:pPr>
        <w:rPr>
          <w:rFonts w:ascii="Times New Roman" w:eastAsia="?????? Pro W3" w:hAnsi="Times New Roman" w:cs="Times New Roman"/>
          <w:b/>
          <w:sz w:val="24"/>
          <w:szCs w:val="24"/>
          <w:lang w:val="sq-AL"/>
        </w:rPr>
      </w:pPr>
    </w:p>
    <w:p w:rsidR="00B5591E" w:rsidRDefault="00B5591E" w:rsidP="00B5591E">
      <w:pPr>
        <w:spacing w:line="276" w:lineRule="auto"/>
        <w:jc w:val="both"/>
        <w:rPr>
          <w:rFonts w:ascii="Times New Roman" w:hAnsi="Times New Roman" w:cs="Times New Roman"/>
          <w:sz w:val="24"/>
          <w:szCs w:val="24"/>
        </w:rPr>
      </w:pPr>
    </w:p>
    <w:p w:rsidR="00B5591E" w:rsidRDefault="00B5591E" w:rsidP="00B5591E">
      <w:pPr>
        <w:ind w:firstLine="720"/>
        <w:rPr>
          <w:rFonts w:ascii="Times New Roman" w:hAnsi="Times New Roman" w:cs="Times New Roman"/>
          <w:sz w:val="24"/>
          <w:szCs w:val="24"/>
        </w:rPr>
      </w:pPr>
    </w:p>
    <w:p w:rsidR="00B5591E" w:rsidRDefault="00B5591E" w:rsidP="00B5591E">
      <w:pPr>
        <w:rPr>
          <w:rFonts w:ascii="Times New Roman" w:hAnsi="Times New Roman" w:cs="Times New Roman"/>
          <w:sz w:val="24"/>
          <w:szCs w:val="24"/>
        </w:rPr>
      </w:pPr>
    </w:p>
    <w:p w:rsidR="00B5591E" w:rsidRPr="00B5591E" w:rsidRDefault="00B5591E" w:rsidP="00B5591E">
      <w:pPr>
        <w:rPr>
          <w:rFonts w:ascii="Times New Roman" w:hAnsi="Times New Roman" w:cs="Times New Roman"/>
          <w:sz w:val="24"/>
          <w:szCs w:val="24"/>
        </w:rPr>
        <w:sectPr w:rsidR="00B5591E" w:rsidRPr="00B5591E" w:rsidSect="007F3BC7">
          <w:footerReference w:type="default" r:id="rId7"/>
          <w:pgSz w:w="11907" w:h="16839" w:code="9"/>
          <w:pgMar w:top="1440" w:right="1440" w:bottom="990" w:left="1440" w:header="720" w:footer="571" w:gutter="0"/>
          <w:cols w:space="720"/>
          <w:docGrid w:linePitch="360"/>
        </w:sectPr>
      </w:pPr>
    </w:p>
    <w:p w:rsidR="00C1352C" w:rsidRPr="005609D9" w:rsidRDefault="00C1352C" w:rsidP="00197492">
      <w:pPr>
        <w:rPr>
          <w:rFonts w:ascii="Times New Roman" w:eastAsia="?????? Pro W3" w:hAnsi="Times New Roman" w:cs="Times New Roman"/>
          <w:b/>
          <w:szCs w:val="24"/>
          <w:lang w:val="sq-AL"/>
        </w:rPr>
      </w:pPr>
      <w:r w:rsidRPr="005609D9">
        <w:rPr>
          <w:rFonts w:ascii="Times New Roman" w:hAnsi="Times New Roman" w:cs="Times New Roman"/>
          <w:b/>
          <w:sz w:val="24"/>
          <w:szCs w:val="28"/>
          <w:u w:val="single"/>
        </w:rPr>
        <w:lastRenderedPageBreak/>
        <w:t xml:space="preserve">Përfundime të Vlerësimit të programit të studimit </w:t>
      </w:r>
      <w:r w:rsidR="00CB3180" w:rsidRPr="005609D9">
        <w:rPr>
          <w:rFonts w:ascii="Times New Roman" w:hAnsi="Times New Roman" w:cs="Times New Roman"/>
          <w:b/>
          <w:sz w:val="24"/>
          <w:szCs w:val="28"/>
          <w:u w:val="single"/>
        </w:rPr>
        <w:t>të ciklit të Tre</w:t>
      </w:r>
      <w:r w:rsidRPr="005609D9">
        <w:rPr>
          <w:rFonts w:ascii="Times New Roman" w:hAnsi="Times New Roman" w:cs="Times New Roman"/>
          <w:b/>
          <w:sz w:val="24"/>
          <w:szCs w:val="28"/>
          <w:u w:val="single"/>
        </w:rPr>
        <w:t xml:space="preserve">të </w:t>
      </w:r>
      <w:r w:rsidR="00CB3180" w:rsidRPr="005609D9">
        <w:rPr>
          <w:rFonts w:ascii="Times New Roman" w:hAnsi="Times New Roman" w:cs="Times New Roman"/>
          <w:b/>
          <w:color w:val="FF0000"/>
          <w:sz w:val="24"/>
          <w:szCs w:val="28"/>
          <w:u w:val="single"/>
        </w:rPr>
        <w:t>Studime Afatgjata në</w:t>
      </w:r>
      <w:r w:rsidR="0025138E" w:rsidRPr="005609D9">
        <w:rPr>
          <w:rFonts w:ascii="Times New Roman" w:hAnsi="Times New Roman" w:cs="Times New Roman"/>
          <w:b/>
          <w:color w:val="FF0000"/>
          <w:sz w:val="24"/>
          <w:szCs w:val="28"/>
          <w:u w:val="single"/>
        </w:rPr>
        <w:t xml:space="preserve"> “.......” </w:t>
      </w:r>
    </w:p>
    <w:p w:rsidR="00C1352C" w:rsidRPr="005609D9" w:rsidRDefault="00C1352C" w:rsidP="006A4485">
      <w:pPr>
        <w:jc w:val="both"/>
        <w:rPr>
          <w:rFonts w:ascii="Times New Roman" w:hAnsi="Times New Roman" w:cs="Times New Roman"/>
          <w:b/>
          <w:szCs w:val="24"/>
        </w:rPr>
      </w:pPr>
    </w:p>
    <w:p w:rsidR="00C1352C" w:rsidRPr="005609D9" w:rsidRDefault="00C1352C" w:rsidP="00F86208">
      <w:pPr>
        <w:spacing w:after="120" w:line="276" w:lineRule="auto"/>
        <w:jc w:val="both"/>
        <w:rPr>
          <w:rFonts w:ascii="Times New Roman" w:hAnsi="Times New Roman" w:cs="Times New Roman"/>
          <w:b/>
          <w:szCs w:val="26"/>
        </w:rPr>
      </w:pPr>
      <w:r w:rsidRPr="005609D9">
        <w:rPr>
          <w:rFonts w:ascii="Times New Roman" w:hAnsi="Times New Roman" w:cs="Times New Roman"/>
          <w:b/>
          <w:szCs w:val="26"/>
        </w:rPr>
        <w:t>Pikat e forta dhe afirmime</w:t>
      </w:r>
    </w:p>
    <w:p w:rsidR="00C1352C" w:rsidRPr="005609D9" w:rsidRDefault="006A4485" w:rsidP="00F86208">
      <w:pPr>
        <w:pStyle w:val="ListParagraph"/>
        <w:numPr>
          <w:ilvl w:val="0"/>
          <w:numId w:val="5"/>
        </w:numPr>
        <w:spacing w:after="120" w:line="276" w:lineRule="auto"/>
        <w:contextualSpacing w:val="0"/>
        <w:jc w:val="both"/>
        <w:rPr>
          <w:rFonts w:ascii="Times New Roman" w:hAnsi="Times New Roman" w:cs="Times New Roman"/>
          <w:b/>
          <w:sz w:val="20"/>
          <w:szCs w:val="24"/>
        </w:rPr>
      </w:pPr>
      <w:r w:rsidRPr="005609D9">
        <w:rPr>
          <w:rFonts w:ascii="Times New Roman" w:hAnsi="Times New Roman" w:cs="Times New Roman"/>
          <w:b/>
          <w:sz w:val="20"/>
          <w:szCs w:val="24"/>
        </w:rPr>
        <w:t>……</w:t>
      </w:r>
    </w:p>
    <w:p w:rsidR="006A4485" w:rsidRPr="005609D9" w:rsidRDefault="006A4485" w:rsidP="00F86208">
      <w:pPr>
        <w:pStyle w:val="ListParagraph"/>
        <w:numPr>
          <w:ilvl w:val="0"/>
          <w:numId w:val="5"/>
        </w:numPr>
        <w:spacing w:after="120" w:line="276" w:lineRule="auto"/>
        <w:contextualSpacing w:val="0"/>
        <w:jc w:val="both"/>
        <w:rPr>
          <w:rFonts w:ascii="Times New Roman" w:hAnsi="Times New Roman" w:cs="Times New Roman"/>
          <w:b/>
          <w:sz w:val="20"/>
          <w:szCs w:val="24"/>
        </w:rPr>
      </w:pPr>
      <w:r w:rsidRPr="005609D9">
        <w:rPr>
          <w:rFonts w:ascii="Times New Roman" w:hAnsi="Times New Roman" w:cs="Times New Roman"/>
          <w:b/>
          <w:sz w:val="20"/>
          <w:szCs w:val="24"/>
        </w:rPr>
        <w:t>……</w:t>
      </w:r>
    </w:p>
    <w:p w:rsidR="006A4485" w:rsidRPr="005609D9" w:rsidRDefault="006A4485" w:rsidP="00F86208">
      <w:pPr>
        <w:pStyle w:val="ListParagraph"/>
        <w:numPr>
          <w:ilvl w:val="0"/>
          <w:numId w:val="5"/>
        </w:numPr>
        <w:spacing w:after="120" w:line="276" w:lineRule="auto"/>
        <w:contextualSpacing w:val="0"/>
        <w:jc w:val="both"/>
        <w:rPr>
          <w:rFonts w:ascii="Times New Roman" w:hAnsi="Times New Roman" w:cs="Times New Roman"/>
          <w:b/>
          <w:sz w:val="20"/>
          <w:szCs w:val="24"/>
        </w:rPr>
      </w:pPr>
      <w:r w:rsidRPr="005609D9">
        <w:rPr>
          <w:rFonts w:ascii="Times New Roman" w:hAnsi="Times New Roman" w:cs="Times New Roman"/>
          <w:b/>
          <w:sz w:val="20"/>
          <w:szCs w:val="24"/>
        </w:rPr>
        <w:t>…….</w:t>
      </w:r>
    </w:p>
    <w:p w:rsidR="00C1352C" w:rsidRPr="005609D9" w:rsidRDefault="00C1352C" w:rsidP="00F86208">
      <w:pPr>
        <w:pStyle w:val="ListParagraph"/>
        <w:spacing w:after="120" w:line="276" w:lineRule="auto"/>
        <w:ind w:left="360" w:hanging="360"/>
        <w:contextualSpacing w:val="0"/>
        <w:jc w:val="both"/>
        <w:rPr>
          <w:rFonts w:ascii="Times New Roman" w:hAnsi="Times New Roman" w:cs="Times New Roman"/>
          <w:b/>
          <w:sz w:val="20"/>
          <w:szCs w:val="24"/>
        </w:rPr>
      </w:pPr>
    </w:p>
    <w:p w:rsidR="00C1352C" w:rsidRPr="005609D9" w:rsidRDefault="00C1352C" w:rsidP="00F86208">
      <w:pPr>
        <w:spacing w:after="120" w:line="276" w:lineRule="auto"/>
        <w:jc w:val="both"/>
        <w:rPr>
          <w:rFonts w:ascii="Times New Roman" w:hAnsi="Times New Roman" w:cs="Times New Roman"/>
          <w:b/>
          <w:szCs w:val="26"/>
        </w:rPr>
      </w:pPr>
      <w:r w:rsidRPr="005609D9">
        <w:rPr>
          <w:rFonts w:ascii="Times New Roman" w:hAnsi="Times New Roman" w:cs="Times New Roman"/>
          <w:b/>
          <w:szCs w:val="26"/>
        </w:rPr>
        <w:t>Pika të dobta</w:t>
      </w:r>
    </w:p>
    <w:p w:rsidR="00C1352C" w:rsidRPr="005609D9" w:rsidRDefault="006A4485" w:rsidP="00F86208">
      <w:pPr>
        <w:pStyle w:val="ListParagraph"/>
        <w:numPr>
          <w:ilvl w:val="0"/>
          <w:numId w:val="7"/>
        </w:numPr>
        <w:spacing w:after="120" w:line="276" w:lineRule="auto"/>
        <w:contextualSpacing w:val="0"/>
        <w:jc w:val="both"/>
        <w:rPr>
          <w:rFonts w:ascii="Times New Roman" w:hAnsi="Times New Roman" w:cs="Times New Roman"/>
          <w:b/>
          <w:sz w:val="20"/>
          <w:szCs w:val="24"/>
        </w:rPr>
      </w:pPr>
      <w:r w:rsidRPr="005609D9">
        <w:rPr>
          <w:rFonts w:ascii="Times New Roman" w:hAnsi="Times New Roman" w:cs="Times New Roman"/>
          <w:b/>
          <w:sz w:val="20"/>
          <w:szCs w:val="24"/>
        </w:rPr>
        <w:t>……</w:t>
      </w:r>
    </w:p>
    <w:p w:rsidR="006A4485" w:rsidRPr="005609D9" w:rsidRDefault="006A4485" w:rsidP="00F86208">
      <w:pPr>
        <w:pStyle w:val="ListParagraph"/>
        <w:numPr>
          <w:ilvl w:val="0"/>
          <w:numId w:val="7"/>
        </w:numPr>
        <w:spacing w:after="120" w:line="276" w:lineRule="auto"/>
        <w:contextualSpacing w:val="0"/>
        <w:jc w:val="both"/>
        <w:rPr>
          <w:rFonts w:ascii="Times New Roman" w:hAnsi="Times New Roman" w:cs="Times New Roman"/>
          <w:b/>
          <w:sz w:val="20"/>
          <w:szCs w:val="24"/>
        </w:rPr>
      </w:pPr>
      <w:r w:rsidRPr="005609D9">
        <w:rPr>
          <w:rFonts w:ascii="Times New Roman" w:hAnsi="Times New Roman" w:cs="Times New Roman"/>
          <w:b/>
          <w:sz w:val="20"/>
          <w:szCs w:val="24"/>
        </w:rPr>
        <w:t>…….</w:t>
      </w:r>
    </w:p>
    <w:p w:rsidR="006A4485" w:rsidRPr="005609D9" w:rsidRDefault="006A4485" w:rsidP="00F86208">
      <w:pPr>
        <w:pStyle w:val="ListParagraph"/>
        <w:numPr>
          <w:ilvl w:val="0"/>
          <w:numId w:val="7"/>
        </w:numPr>
        <w:spacing w:after="120" w:line="276" w:lineRule="auto"/>
        <w:contextualSpacing w:val="0"/>
        <w:jc w:val="both"/>
        <w:rPr>
          <w:rFonts w:ascii="Times New Roman" w:hAnsi="Times New Roman" w:cs="Times New Roman"/>
          <w:b/>
          <w:sz w:val="20"/>
          <w:szCs w:val="24"/>
        </w:rPr>
      </w:pPr>
      <w:r w:rsidRPr="005609D9">
        <w:rPr>
          <w:rFonts w:ascii="Times New Roman" w:hAnsi="Times New Roman" w:cs="Times New Roman"/>
          <w:b/>
          <w:sz w:val="20"/>
          <w:szCs w:val="24"/>
        </w:rPr>
        <w:t>…..</w:t>
      </w:r>
    </w:p>
    <w:p w:rsidR="00C1352C" w:rsidRPr="005609D9" w:rsidRDefault="00C1352C" w:rsidP="00F86208">
      <w:pPr>
        <w:pStyle w:val="ListParagraph"/>
        <w:spacing w:after="120" w:line="276" w:lineRule="auto"/>
        <w:ind w:left="360" w:hanging="360"/>
        <w:contextualSpacing w:val="0"/>
        <w:jc w:val="both"/>
        <w:rPr>
          <w:rFonts w:ascii="Times New Roman" w:hAnsi="Times New Roman" w:cs="Times New Roman"/>
          <w:b/>
          <w:sz w:val="20"/>
          <w:szCs w:val="24"/>
        </w:rPr>
      </w:pPr>
    </w:p>
    <w:p w:rsidR="00C1352C" w:rsidRPr="005609D9" w:rsidRDefault="00C1352C" w:rsidP="00F86208">
      <w:pPr>
        <w:spacing w:after="120" w:line="276" w:lineRule="auto"/>
        <w:jc w:val="both"/>
        <w:rPr>
          <w:rFonts w:ascii="Times New Roman" w:hAnsi="Times New Roman" w:cs="Times New Roman"/>
          <w:b/>
          <w:szCs w:val="26"/>
        </w:rPr>
      </w:pPr>
      <w:r w:rsidRPr="005609D9">
        <w:rPr>
          <w:rFonts w:ascii="Times New Roman" w:hAnsi="Times New Roman" w:cs="Times New Roman"/>
          <w:b/>
          <w:szCs w:val="26"/>
        </w:rPr>
        <w:t>Rekomandime</w:t>
      </w:r>
    </w:p>
    <w:p w:rsidR="00C1352C" w:rsidRPr="005609D9" w:rsidRDefault="00F86208" w:rsidP="00F86208">
      <w:pPr>
        <w:pStyle w:val="ListParagraph"/>
        <w:numPr>
          <w:ilvl w:val="0"/>
          <w:numId w:val="8"/>
        </w:numPr>
        <w:spacing w:after="120" w:line="276" w:lineRule="auto"/>
        <w:contextualSpacing w:val="0"/>
        <w:jc w:val="both"/>
        <w:rPr>
          <w:rFonts w:ascii="Times New Roman" w:hAnsi="Times New Roman" w:cs="Times New Roman"/>
          <w:b/>
          <w:sz w:val="20"/>
          <w:szCs w:val="24"/>
        </w:rPr>
      </w:pPr>
      <w:r w:rsidRPr="005609D9">
        <w:rPr>
          <w:rFonts w:ascii="Times New Roman" w:hAnsi="Times New Roman" w:cs="Times New Roman"/>
          <w:b/>
          <w:sz w:val="20"/>
          <w:szCs w:val="24"/>
        </w:rPr>
        <w:t>….</w:t>
      </w:r>
    </w:p>
    <w:p w:rsidR="00F86208" w:rsidRPr="005609D9" w:rsidRDefault="00F86208" w:rsidP="00F86208">
      <w:pPr>
        <w:pStyle w:val="ListParagraph"/>
        <w:numPr>
          <w:ilvl w:val="0"/>
          <w:numId w:val="8"/>
        </w:numPr>
        <w:spacing w:after="120" w:line="276" w:lineRule="auto"/>
        <w:contextualSpacing w:val="0"/>
        <w:jc w:val="both"/>
        <w:rPr>
          <w:rFonts w:ascii="Times New Roman" w:hAnsi="Times New Roman" w:cs="Times New Roman"/>
          <w:b/>
          <w:sz w:val="20"/>
          <w:szCs w:val="24"/>
        </w:rPr>
      </w:pPr>
      <w:r w:rsidRPr="005609D9">
        <w:rPr>
          <w:rFonts w:ascii="Times New Roman" w:hAnsi="Times New Roman" w:cs="Times New Roman"/>
          <w:b/>
          <w:sz w:val="20"/>
          <w:szCs w:val="24"/>
        </w:rPr>
        <w:t>….</w:t>
      </w:r>
    </w:p>
    <w:p w:rsidR="00F86208" w:rsidRPr="005609D9" w:rsidRDefault="00F86208" w:rsidP="00F86208">
      <w:pPr>
        <w:pStyle w:val="ListParagraph"/>
        <w:numPr>
          <w:ilvl w:val="0"/>
          <w:numId w:val="8"/>
        </w:numPr>
        <w:spacing w:after="120" w:line="276" w:lineRule="auto"/>
        <w:contextualSpacing w:val="0"/>
        <w:jc w:val="both"/>
        <w:rPr>
          <w:rFonts w:ascii="Times New Roman" w:hAnsi="Times New Roman" w:cs="Times New Roman"/>
          <w:b/>
          <w:sz w:val="20"/>
          <w:szCs w:val="24"/>
        </w:rPr>
      </w:pPr>
      <w:r w:rsidRPr="005609D9">
        <w:rPr>
          <w:rFonts w:ascii="Times New Roman" w:hAnsi="Times New Roman" w:cs="Times New Roman"/>
          <w:b/>
          <w:sz w:val="20"/>
          <w:szCs w:val="24"/>
        </w:rPr>
        <w:t>….</w:t>
      </w:r>
    </w:p>
    <w:p w:rsidR="00C1352C" w:rsidRPr="005609D9" w:rsidRDefault="00C1352C" w:rsidP="00C1352C">
      <w:pPr>
        <w:pStyle w:val="ListParagraph"/>
        <w:ind w:left="360" w:hanging="360"/>
        <w:jc w:val="both"/>
        <w:rPr>
          <w:rFonts w:ascii="Times New Roman" w:hAnsi="Times New Roman" w:cs="Times New Roman"/>
          <w:b/>
          <w:sz w:val="20"/>
          <w:szCs w:val="24"/>
        </w:rPr>
      </w:pPr>
    </w:p>
    <w:p w:rsidR="00C51FD0" w:rsidRPr="005609D9" w:rsidRDefault="00C51FD0" w:rsidP="00F86208">
      <w:pPr>
        <w:jc w:val="both"/>
        <w:rPr>
          <w:rFonts w:ascii="Times New Roman" w:hAnsi="Times New Roman" w:cs="Times New Roman"/>
          <w:b/>
          <w:szCs w:val="26"/>
        </w:rPr>
      </w:pPr>
    </w:p>
    <w:p w:rsidR="00AF2A6C" w:rsidRPr="005609D9" w:rsidRDefault="00AF2A6C" w:rsidP="00AF2A6C">
      <w:pPr>
        <w:pStyle w:val="ListParagraph"/>
        <w:spacing w:after="120" w:line="276" w:lineRule="auto"/>
        <w:ind w:left="0"/>
        <w:contextualSpacing w:val="0"/>
        <w:jc w:val="both"/>
        <w:rPr>
          <w:rFonts w:ascii="Times New Roman" w:hAnsi="Times New Roman"/>
          <w:b/>
          <w:sz w:val="24"/>
          <w:szCs w:val="28"/>
          <w:u w:val="single"/>
        </w:rPr>
      </w:pPr>
      <w:r w:rsidRPr="005609D9">
        <w:rPr>
          <w:rFonts w:ascii="Times New Roman" w:hAnsi="Times New Roman"/>
          <w:b/>
          <w:sz w:val="24"/>
          <w:szCs w:val="28"/>
          <w:u w:val="single"/>
        </w:rPr>
        <w:t>E</w:t>
      </w:r>
      <w:r w:rsidR="00D72D8F" w:rsidRPr="005609D9">
        <w:rPr>
          <w:rFonts w:ascii="Times New Roman" w:hAnsi="Times New Roman"/>
          <w:b/>
          <w:sz w:val="24"/>
          <w:szCs w:val="28"/>
          <w:u w:val="single"/>
        </w:rPr>
        <w:t>valuation’s conclusions for</w:t>
      </w:r>
      <w:r w:rsidR="00CB3180" w:rsidRPr="005609D9">
        <w:rPr>
          <w:rFonts w:ascii="Times New Roman" w:hAnsi="Times New Roman"/>
          <w:b/>
          <w:sz w:val="24"/>
          <w:szCs w:val="28"/>
          <w:u w:val="single"/>
        </w:rPr>
        <w:t xml:space="preserve"> the Third Cycle </w:t>
      </w:r>
      <w:r w:rsidR="00CB3180" w:rsidRPr="005609D9">
        <w:rPr>
          <w:rFonts w:ascii="Times New Roman" w:hAnsi="Times New Roman"/>
          <w:b/>
          <w:color w:val="FF0000"/>
          <w:sz w:val="24"/>
          <w:szCs w:val="28"/>
          <w:u w:val="single"/>
        </w:rPr>
        <w:t xml:space="preserve">Long-Term Studies </w:t>
      </w:r>
      <w:r w:rsidR="00CB3180" w:rsidRPr="005609D9">
        <w:rPr>
          <w:rFonts w:ascii="Times New Roman" w:hAnsi="Times New Roman"/>
          <w:b/>
          <w:sz w:val="24"/>
          <w:szCs w:val="28"/>
          <w:u w:val="single"/>
        </w:rPr>
        <w:t xml:space="preserve">in “.......” </w:t>
      </w:r>
      <w:r w:rsidRPr="005609D9">
        <w:rPr>
          <w:rFonts w:ascii="Times New Roman" w:hAnsi="Times New Roman"/>
          <w:b/>
          <w:color w:val="FF0000"/>
          <w:sz w:val="24"/>
          <w:szCs w:val="28"/>
          <w:u w:val="single"/>
        </w:rPr>
        <w:t xml:space="preserve">“.......” </w:t>
      </w:r>
    </w:p>
    <w:p w:rsidR="00AF2A6C" w:rsidRPr="005609D9" w:rsidRDefault="00AF2A6C" w:rsidP="00F86208">
      <w:pPr>
        <w:jc w:val="both"/>
        <w:rPr>
          <w:rFonts w:ascii="Times New Roman" w:hAnsi="Times New Roman" w:cs="Times New Roman"/>
          <w:b/>
          <w:szCs w:val="26"/>
        </w:rPr>
      </w:pPr>
    </w:p>
    <w:p w:rsidR="00E8239C" w:rsidRPr="005609D9" w:rsidRDefault="00E8239C" w:rsidP="00E8239C">
      <w:pPr>
        <w:spacing w:after="120" w:line="276" w:lineRule="auto"/>
        <w:jc w:val="both"/>
        <w:rPr>
          <w:rFonts w:ascii="Times New Roman" w:hAnsi="Times New Roman"/>
          <w:b/>
          <w:szCs w:val="24"/>
        </w:rPr>
      </w:pPr>
      <w:r w:rsidRPr="005609D9">
        <w:rPr>
          <w:rFonts w:ascii="Times New Roman" w:hAnsi="Times New Roman"/>
          <w:b/>
          <w:szCs w:val="24"/>
        </w:rPr>
        <w:t>Strengths and affirmations</w:t>
      </w:r>
    </w:p>
    <w:p w:rsidR="00E8239C" w:rsidRPr="005609D9" w:rsidRDefault="00E8239C" w:rsidP="00E8239C">
      <w:pPr>
        <w:pStyle w:val="ListParagraph"/>
        <w:numPr>
          <w:ilvl w:val="0"/>
          <w:numId w:val="11"/>
        </w:numPr>
        <w:spacing w:after="120" w:line="276" w:lineRule="auto"/>
        <w:contextualSpacing w:val="0"/>
        <w:jc w:val="both"/>
        <w:rPr>
          <w:rFonts w:ascii="Times New Roman" w:hAnsi="Times New Roman"/>
          <w:b/>
          <w:szCs w:val="24"/>
        </w:rPr>
      </w:pPr>
      <w:r w:rsidRPr="005609D9">
        <w:rPr>
          <w:rFonts w:ascii="Times New Roman" w:hAnsi="Times New Roman"/>
          <w:b/>
          <w:szCs w:val="24"/>
        </w:rPr>
        <w:t>…</w:t>
      </w:r>
    </w:p>
    <w:p w:rsidR="00E8239C" w:rsidRPr="005609D9" w:rsidRDefault="00E8239C" w:rsidP="00E8239C">
      <w:pPr>
        <w:pStyle w:val="ListParagraph"/>
        <w:numPr>
          <w:ilvl w:val="0"/>
          <w:numId w:val="11"/>
        </w:numPr>
        <w:spacing w:after="120" w:line="276" w:lineRule="auto"/>
        <w:contextualSpacing w:val="0"/>
        <w:jc w:val="both"/>
        <w:rPr>
          <w:rFonts w:ascii="Times New Roman" w:hAnsi="Times New Roman"/>
          <w:b/>
          <w:szCs w:val="24"/>
        </w:rPr>
      </w:pPr>
      <w:r w:rsidRPr="005609D9">
        <w:rPr>
          <w:rFonts w:ascii="Times New Roman" w:hAnsi="Times New Roman"/>
          <w:b/>
          <w:szCs w:val="24"/>
        </w:rPr>
        <w:t>…..</w:t>
      </w:r>
    </w:p>
    <w:p w:rsidR="00E8239C" w:rsidRPr="005609D9" w:rsidRDefault="00E8239C" w:rsidP="00E8239C">
      <w:pPr>
        <w:pStyle w:val="ListParagraph"/>
        <w:numPr>
          <w:ilvl w:val="0"/>
          <w:numId w:val="11"/>
        </w:numPr>
        <w:spacing w:after="120" w:line="276" w:lineRule="auto"/>
        <w:contextualSpacing w:val="0"/>
        <w:jc w:val="both"/>
        <w:rPr>
          <w:rFonts w:ascii="Times New Roman" w:hAnsi="Times New Roman"/>
          <w:b/>
          <w:szCs w:val="24"/>
        </w:rPr>
      </w:pPr>
      <w:r w:rsidRPr="005609D9">
        <w:rPr>
          <w:rFonts w:ascii="Times New Roman" w:hAnsi="Times New Roman"/>
          <w:b/>
          <w:szCs w:val="24"/>
        </w:rPr>
        <w:t>….</w:t>
      </w:r>
    </w:p>
    <w:p w:rsidR="00E8239C" w:rsidRPr="005609D9" w:rsidRDefault="00E8239C" w:rsidP="00E8239C">
      <w:pPr>
        <w:pStyle w:val="ListParagraph"/>
        <w:spacing w:after="120" w:line="276" w:lineRule="auto"/>
        <w:ind w:left="360" w:hanging="360"/>
        <w:contextualSpacing w:val="0"/>
        <w:jc w:val="both"/>
        <w:rPr>
          <w:rFonts w:ascii="Times New Roman" w:hAnsi="Times New Roman"/>
          <w:b/>
          <w:szCs w:val="24"/>
        </w:rPr>
      </w:pPr>
    </w:p>
    <w:p w:rsidR="00E8239C" w:rsidRPr="005609D9" w:rsidRDefault="00E8239C" w:rsidP="00E8239C">
      <w:pPr>
        <w:pStyle w:val="ListParagraph"/>
        <w:spacing w:after="120" w:line="276" w:lineRule="auto"/>
        <w:ind w:left="360" w:hanging="360"/>
        <w:contextualSpacing w:val="0"/>
        <w:jc w:val="both"/>
        <w:rPr>
          <w:rFonts w:ascii="Times New Roman" w:hAnsi="Times New Roman"/>
          <w:b/>
          <w:szCs w:val="24"/>
        </w:rPr>
      </w:pPr>
    </w:p>
    <w:p w:rsidR="00E8239C" w:rsidRPr="005609D9" w:rsidRDefault="00E8239C" w:rsidP="00E8239C">
      <w:pPr>
        <w:pStyle w:val="ListParagraph"/>
        <w:spacing w:after="120" w:line="276" w:lineRule="auto"/>
        <w:ind w:left="360" w:hanging="360"/>
        <w:contextualSpacing w:val="0"/>
        <w:jc w:val="both"/>
        <w:rPr>
          <w:rFonts w:ascii="Times New Roman" w:hAnsi="Times New Roman"/>
          <w:b/>
          <w:szCs w:val="24"/>
        </w:rPr>
      </w:pPr>
    </w:p>
    <w:p w:rsidR="00E8239C" w:rsidRPr="005609D9" w:rsidRDefault="00E8239C" w:rsidP="00E8239C">
      <w:pPr>
        <w:spacing w:after="120" w:line="276" w:lineRule="auto"/>
        <w:jc w:val="both"/>
        <w:rPr>
          <w:rFonts w:ascii="Times New Roman" w:hAnsi="Times New Roman"/>
          <w:b/>
          <w:szCs w:val="24"/>
        </w:rPr>
      </w:pPr>
      <w:r w:rsidRPr="005609D9">
        <w:rPr>
          <w:rFonts w:ascii="Times New Roman" w:hAnsi="Times New Roman"/>
          <w:b/>
          <w:szCs w:val="24"/>
        </w:rPr>
        <w:t>Weaknesses</w:t>
      </w:r>
    </w:p>
    <w:p w:rsidR="00E8239C" w:rsidRPr="005609D9" w:rsidRDefault="00E8239C" w:rsidP="00E8239C">
      <w:pPr>
        <w:pStyle w:val="ListParagraph"/>
        <w:numPr>
          <w:ilvl w:val="0"/>
          <w:numId w:val="12"/>
        </w:numPr>
        <w:spacing w:after="120" w:line="276" w:lineRule="auto"/>
        <w:contextualSpacing w:val="0"/>
        <w:jc w:val="both"/>
        <w:rPr>
          <w:rFonts w:ascii="Times New Roman" w:hAnsi="Times New Roman"/>
          <w:b/>
          <w:szCs w:val="24"/>
        </w:rPr>
      </w:pPr>
      <w:r w:rsidRPr="005609D9">
        <w:rPr>
          <w:rFonts w:ascii="Times New Roman" w:hAnsi="Times New Roman"/>
          <w:b/>
          <w:szCs w:val="24"/>
        </w:rPr>
        <w:t>…..</w:t>
      </w:r>
    </w:p>
    <w:p w:rsidR="00E8239C" w:rsidRPr="005609D9" w:rsidRDefault="00E8239C" w:rsidP="00E8239C">
      <w:pPr>
        <w:pStyle w:val="ListParagraph"/>
        <w:numPr>
          <w:ilvl w:val="0"/>
          <w:numId w:val="12"/>
        </w:numPr>
        <w:spacing w:after="120" w:line="276" w:lineRule="auto"/>
        <w:contextualSpacing w:val="0"/>
        <w:jc w:val="both"/>
        <w:rPr>
          <w:rFonts w:ascii="Times New Roman" w:hAnsi="Times New Roman"/>
          <w:b/>
          <w:szCs w:val="24"/>
        </w:rPr>
      </w:pPr>
      <w:r w:rsidRPr="005609D9">
        <w:rPr>
          <w:rFonts w:ascii="Times New Roman" w:hAnsi="Times New Roman"/>
          <w:b/>
          <w:szCs w:val="24"/>
        </w:rPr>
        <w:t>…..</w:t>
      </w:r>
    </w:p>
    <w:p w:rsidR="00E8239C" w:rsidRPr="005609D9" w:rsidRDefault="00E8239C" w:rsidP="00E8239C">
      <w:pPr>
        <w:pStyle w:val="ListParagraph"/>
        <w:numPr>
          <w:ilvl w:val="0"/>
          <w:numId w:val="12"/>
        </w:numPr>
        <w:spacing w:after="120" w:line="276" w:lineRule="auto"/>
        <w:contextualSpacing w:val="0"/>
        <w:jc w:val="both"/>
        <w:rPr>
          <w:rFonts w:ascii="Times New Roman" w:hAnsi="Times New Roman"/>
          <w:b/>
          <w:szCs w:val="24"/>
        </w:rPr>
      </w:pPr>
      <w:r w:rsidRPr="005609D9">
        <w:rPr>
          <w:rFonts w:ascii="Times New Roman" w:hAnsi="Times New Roman"/>
          <w:b/>
          <w:szCs w:val="24"/>
        </w:rPr>
        <w:t>…..</w:t>
      </w:r>
    </w:p>
    <w:p w:rsidR="00E8239C" w:rsidRPr="005609D9" w:rsidRDefault="00E8239C" w:rsidP="00E8239C">
      <w:pPr>
        <w:spacing w:after="120" w:line="276" w:lineRule="auto"/>
        <w:jc w:val="both"/>
        <w:rPr>
          <w:rFonts w:ascii="Times New Roman" w:hAnsi="Times New Roman"/>
          <w:b/>
          <w:szCs w:val="24"/>
        </w:rPr>
      </w:pPr>
    </w:p>
    <w:p w:rsidR="00E8239C" w:rsidRPr="005609D9" w:rsidRDefault="00E8239C" w:rsidP="00E8239C">
      <w:pPr>
        <w:spacing w:after="120" w:line="276" w:lineRule="auto"/>
        <w:jc w:val="both"/>
        <w:rPr>
          <w:rFonts w:ascii="Times New Roman" w:hAnsi="Times New Roman"/>
          <w:b/>
          <w:szCs w:val="24"/>
        </w:rPr>
      </w:pPr>
    </w:p>
    <w:p w:rsidR="00E8239C" w:rsidRPr="005609D9" w:rsidRDefault="00E8239C" w:rsidP="00E8239C">
      <w:pPr>
        <w:spacing w:after="120" w:line="276" w:lineRule="auto"/>
        <w:jc w:val="both"/>
        <w:rPr>
          <w:rFonts w:ascii="Times New Roman" w:hAnsi="Times New Roman"/>
          <w:b/>
          <w:szCs w:val="24"/>
        </w:rPr>
      </w:pPr>
    </w:p>
    <w:p w:rsidR="00E8239C" w:rsidRPr="005609D9" w:rsidRDefault="00E8239C" w:rsidP="00E8239C">
      <w:pPr>
        <w:spacing w:after="120" w:line="276" w:lineRule="auto"/>
        <w:jc w:val="both"/>
        <w:rPr>
          <w:rFonts w:ascii="Times New Roman" w:hAnsi="Times New Roman"/>
          <w:b/>
          <w:szCs w:val="24"/>
        </w:rPr>
      </w:pPr>
    </w:p>
    <w:p w:rsidR="00E8239C" w:rsidRPr="005609D9" w:rsidRDefault="00E8239C" w:rsidP="00E8239C">
      <w:pPr>
        <w:spacing w:after="120" w:line="276" w:lineRule="auto"/>
        <w:jc w:val="both"/>
        <w:rPr>
          <w:rFonts w:ascii="Times New Roman" w:hAnsi="Times New Roman"/>
          <w:b/>
          <w:szCs w:val="24"/>
        </w:rPr>
      </w:pPr>
      <w:r w:rsidRPr="005609D9">
        <w:rPr>
          <w:rFonts w:ascii="Times New Roman" w:hAnsi="Times New Roman"/>
          <w:b/>
          <w:szCs w:val="24"/>
        </w:rPr>
        <w:t>Recommendation</w:t>
      </w:r>
    </w:p>
    <w:p w:rsidR="00E8239C" w:rsidRPr="005609D9" w:rsidRDefault="00E8239C" w:rsidP="00E8239C">
      <w:pPr>
        <w:pStyle w:val="ListParagraph"/>
        <w:numPr>
          <w:ilvl w:val="0"/>
          <w:numId w:val="13"/>
        </w:numPr>
        <w:spacing w:after="120" w:line="276" w:lineRule="auto"/>
        <w:contextualSpacing w:val="0"/>
        <w:jc w:val="both"/>
        <w:rPr>
          <w:rFonts w:ascii="Times New Roman" w:hAnsi="Times New Roman"/>
          <w:b/>
          <w:szCs w:val="24"/>
        </w:rPr>
      </w:pPr>
      <w:r w:rsidRPr="005609D9">
        <w:rPr>
          <w:rFonts w:ascii="Times New Roman" w:hAnsi="Times New Roman"/>
          <w:b/>
          <w:szCs w:val="24"/>
        </w:rPr>
        <w:t>…..</w:t>
      </w:r>
    </w:p>
    <w:p w:rsidR="00E8239C" w:rsidRPr="005609D9" w:rsidRDefault="00E8239C" w:rsidP="00E8239C">
      <w:pPr>
        <w:pStyle w:val="ListParagraph"/>
        <w:numPr>
          <w:ilvl w:val="0"/>
          <w:numId w:val="13"/>
        </w:numPr>
        <w:spacing w:after="120" w:line="276" w:lineRule="auto"/>
        <w:contextualSpacing w:val="0"/>
        <w:jc w:val="both"/>
        <w:rPr>
          <w:rFonts w:ascii="Times New Roman" w:hAnsi="Times New Roman"/>
          <w:b/>
          <w:szCs w:val="24"/>
        </w:rPr>
      </w:pPr>
      <w:r w:rsidRPr="005609D9">
        <w:rPr>
          <w:rFonts w:ascii="Times New Roman" w:hAnsi="Times New Roman"/>
          <w:b/>
          <w:szCs w:val="24"/>
        </w:rPr>
        <w:t>…..</w:t>
      </w:r>
    </w:p>
    <w:p w:rsidR="00E8239C" w:rsidRPr="005609D9" w:rsidRDefault="00E8239C" w:rsidP="00E8239C">
      <w:pPr>
        <w:pStyle w:val="ListParagraph"/>
        <w:numPr>
          <w:ilvl w:val="0"/>
          <w:numId w:val="13"/>
        </w:numPr>
        <w:spacing w:after="120" w:line="276" w:lineRule="auto"/>
        <w:contextualSpacing w:val="0"/>
        <w:jc w:val="both"/>
        <w:rPr>
          <w:rFonts w:ascii="Times New Roman" w:hAnsi="Times New Roman"/>
          <w:b/>
          <w:szCs w:val="24"/>
        </w:rPr>
      </w:pPr>
      <w:r w:rsidRPr="005609D9">
        <w:rPr>
          <w:rFonts w:ascii="Times New Roman" w:hAnsi="Times New Roman"/>
          <w:b/>
          <w:szCs w:val="24"/>
        </w:rPr>
        <w:t>…..</w:t>
      </w:r>
    </w:p>
    <w:p w:rsidR="00C51FD0" w:rsidRPr="005609D9" w:rsidRDefault="00C51FD0" w:rsidP="00F86208">
      <w:pPr>
        <w:jc w:val="both"/>
        <w:rPr>
          <w:rFonts w:ascii="Times New Roman" w:hAnsi="Times New Roman" w:cs="Times New Roman"/>
          <w:b/>
          <w:szCs w:val="26"/>
        </w:rPr>
      </w:pPr>
    </w:p>
    <w:p w:rsidR="00C51FD0" w:rsidRPr="005609D9" w:rsidRDefault="00C51FD0" w:rsidP="00F86208">
      <w:pPr>
        <w:jc w:val="both"/>
        <w:rPr>
          <w:rFonts w:ascii="Times New Roman" w:hAnsi="Times New Roman" w:cs="Times New Roman"/>
          <w:b/>
          <w:sz w:val="24"/>
          <w:szCs w:val="26"/>
        </w:rPr>
      </w:pPr>
    </w:p>
    <w:p w:rsidR="00C51FD0" w:rsidRPr="005609D9" w:rsidRDefault="00C51FD0" w:rsidP="00F86208">
      <w:pPr>
        <w:jc w:val="both"/>
        <w:rPr>
          <w:rFonts w:ascii="Times New Roman" w:hAnsi="Times New Roman" w:cs="Times New Roman"/>
          <w:b/>
          <w:sz w:val="24"/>
          <w:szCs w:val="26"/>
        </w:rPr>
      </w:pPr>
    </w:p>
    <w:p w:rsidR="00C51FD0" w:rsidRPr="005609D9" w:rsidRDefault="00C51FD0" w:rsidP="00F86208">
      <w:pPr>
        <w:jc w:val="both"/>
        <w:rPr>
          <w:rFonts w:ascii="Times New Roman" w:hAnsi="Times New Roman" w:cs="Times New Roman"/>
          <w:b/>
          <w:sz w:val="24"/>
          <w:szCs w:val="26"/>
        </w:rPr>
      </w:pPr>
    </w:p>
    <w:p w:rsidR="00C51FD0" w:rsidRPr="005609D9" w:rsidRDefault="00C51FD0" w:rsidP="00F86208">
      <w:pPr>
        <w:jc w:val="both"/>
        <w:rPr>
          <w:rFonts w:ascii="Times New Roman" w:hAnsi="Times New Roman" w:cs="Times New Roman"/>
          <w:b/>
          <w:sz w:val="24"/>
          <w:szCs w:val="26"/>
        </w:rPr>
      </w:pPr>
    </w:p>
    <w:p w:rsidR="00C51FD0" w:rsidRPr="005609D9" w:rsidRDefault="00C51FD0" w:rsidP="00F86208">
      <w:pPr>
        <w:jc w:val="both"/>
        <w:rPr>
          <w:rFonts w:ascii="Times New Roman" w:hAnsi="Times New Roman" w:cs="Times New Roman"/>
          <w:b/>
          <w:sz w:val="24"/>
          <w:szCs w:val="26"/>
        </w:rPr>
      </w:pPr>
    </w:p>
    <w:p w:rsidR="00C51FD0" w:rsidRPr="005609D9" w:rsidRDefault="00C51FD0" w:rsidP="00F86208">
      <w:pPr>
        <w:jc w:val="both"/>
        <w:rPr>
          <w:rFonts w:ascii="Times New Roman" w:hAnsi="Times New Roman" w:cs="Times New Roman"/>
          <w:b/>
          <w:sz w:val="24"/>
          <w:szCs w:val="26"/>
        </w:rPr>
      </w:pPr>
    </w:p>
    <w:p w:rsidR="00C51FD0" w:rsidRPr="005609D9" w:rsidRDefault="00C51FD0" w:rsidP="00F86208">
      <w:pPr>
        <w:jc w:val="both"/>
        <w:rPr>
          <w:rFonts w:ascii="Times New Roman" w:hAnsi="Times New Roman" w:cs="Times New Roman"/>
          <w:b/>
          <w:sz w:val="24"/>
          <w:szCs w:val="26"/>
        </w:rPr>
      </w:pPr>
    </w:p>
    <w:p w:rsidR="00C51FD0" w:rsidRPr="005609D9" w:rsidRDefault="00C51FD0" w:rsidP="00F86208">
      <w:pPr>
        <w:jc w:val="both"/>
        <w:rPr>
          <w:rFonts w:ascii="Times New Roman" w:hAnsi="Times New Roman" w:cs="Times New Roman"/>
          <w:b/>
          <w:sz w:val="24"/>
          <w:szCs w:val="26"/>
        </w:rPr>
      </w:pPr>
    </w:p>
    <w:p w:rsidR="00C51FD0" w:rsidRPr="005609D9" w:rsidRDefault="00C51FD0" w:rsidP="00F86208">
      <w:pPr>
        <w:jc w:val="both"/>
        <w:rPr>
          <w:rFonts w:ascii="Times New Roman" w:hAnsi="Times New Roman" w:cs="Times New Roman"/>
          <w:b/>
          <w:sz w:val="24"/>
          <w:szCs w:val="26"/>
        </w:rPr>
      </w:pPr>
    </w:p>
    <w:p w:rsidR="00E8239C" w:rsidRPr="005609D9" w:rsidRDefault="00E8239C" w:rsidP="00F86208">
      <w:pPr>
        <w:jc w:val="both"/>
        <w:rPr>
          <w:rFonts w:ascii="Times New Roman" w:hAnsi="Times New Roman" w:cs="Times New Roman"/>
          <w:b/>
          <w:sz w:val="24"/>
          <w:szCs w:val="26"/>
        </w:rPr>
      </w:pPr>
    </w:p>
    <w:p w:rsidR="00E8239C" w:rsidRDefault="00E8239C" w:rsidP="00F86208">
      <w:pPr>
        <w:jc w:val="both"/>
        <w:rPr>
          <w:rFonts w:ascii="Times New Roman" w:hAnsi="Times New Roman" w:cs="Times New Roman"/>
          <w:b/>
          <w:sz w:val="24"/>
          <w:szCs w:val="26"/>
        </w:rPr>
      </w:pPr>
    </w:p>
    <w:p w:rsidR="005609D9" w:rsidRDefault="005609D9" w:rsidP="00F86208">
      <w:pPr>
        <w:jc w:val="both"/>
        <w:rPr>
          <w:rFonts w:ascii="Times New Roman" w:hAnsi="Times New Roman" w:cs="Times New Roman"/>
          <w:b/>
          <w:sz w:val="24"/>
          <w:szCs w:val="26"/>
        </w:rPr>
      </w:pPr>
    </w:p>
    <w:p w:rsidR="005609D9" w:rsidRDefault="005609D9" w:rsidP="00F86208">
      <w:pPr>
        <w:jc w:val="both"/>
        <w:rPr>
          <w:rFonts w:ascii="Times New Roman" w:hAnsi="Times New Roman" w:cs="Times New Roman"/>
          <w:b/>
          <w:sz w:val="24"/>
          <w:szCs w:val="26"/>
        </w:rPr>
      </w:pPr>
    </w:p>
    <w:p w:rsidR="005609D9" w:rsidRPr="005609D9" w:rsidRDefault="005609D9" w:rsidP="00F86208">
      <w:pPr>
        <w:jc w:val="both"/>
        <w:rPr>
          <w:rFonts w:ascii="Times New Roman" w:hAnsi="Times New Roman" w:cs="Times New Roman"/>
          <w:b/>
          <w:sz w:val="24"/>
          <w:szCs w:val="26"/>
        </w:rPr>
      </w:pPr>
    </w:p>
    <w:p w:rsidR="00E8239C" w:rsidRPr="005609D9" w:rsidRDefault="00E8239C" w:rsidP="00F86208">
      <w:pPr>
        <w:jc w:val="both"/>
        <w:rPr>
          <w:rFonts w:ascii="Times New Roman" w:hAnsi="Times New Roman" w:cs="Times New Roman"/>
          <w:b/>
          <w:sz w:val="24"/>
          <w:szCs w:val="26"/>
        </w:rPr>
      </w:pPr>
    </w:p>
    <w:p w:rsidR="00E8239C" w:rsidRPr="005609D9" w:rsidRDefault="00E8239C" w:rsidP="00F86208">
      <w:pPr>
        <w:jc w:val="both"/>
        <w:rPr>
          <w:rFonts w:ascii="Times New Roman" w:hAnsi="Times New Roman" w:cs="Times New Roman"/>
          <w:b/>
          <w:sz w:val="24"/>
          <w:szCs w:val="26"/>
        </w:rPr>
      </w:pPr>
    </w:p>
    <w:p w:rsidR="00E8239C" w:rsidRPr="005609D9" w:rsidRDefault="00E8239C" w:rsidP="00F86208">
      <w:pPr>
        <w:jc w:val="both"/>
        <w:rPr>
          <w:rFonts w:ascii="Times New Roman" w:hAnsi="Times New Roman" w:cs="Times New Roman"/>
          <w:b/>
          <w:sz w:val="24"/>
          <w:szCs w:val="26"/>
        </w:rPr>
      </w:pPr>
    </w:p>
    <w:p w:rsidR="00E8239C" w:rsidRPr="005609D9" w:rsidRDefault="00E8239C" w:rsidP="00F86208">
      <w:pPr>
        <w:jc w:val="both"/>
        <w:rPr>
          <w:rFonts w:ascii="Times New Roman" w:hAnsi="Times New Roman" w:cs="Times New Roman"/>
          <w:b/>
          <w:sz w:val="24"/>
          <w:szCs w:val="26"/>
        </w:rPr>
      </w:pPr>
    </w:p>
    <w:p w:rsidR="00DD3D25" w:rsidRPr="005609D9" w:rsidRDefault="00DD3D25" w:rsidP="00F86208">
      <w:pPr>
        <w:jc w:val="both"/>
        <w:rPr>
          <w:rFonts w:ascii="Times New Roman" w:hAnsi="Times New Roman" w:cs="Times New Roman"/>
          <w:b/>
          <w:sz w:val="24"/>
          <w:szCs w:val="26"/>
        </w:rPr>
      </w:pPr>
    </w:p>
    <w:p w:rsidR="00DD3D25" w:rsidRPr="005609D9" w:rsidRDefault="00DD3D25" w:rsidP="00F86208">
      <w:pPr>
        <w:jc w:val="both"/>
        <w:rPr>
          <w:rFonts w:ascii="Times New Roman" w:hAnsi="Times New Roman" w:cs="Times New Roman"/>
          <w:b/>
          <w:sz w:val="24"/>
          <w:szCs w:val="26"/>
        </w:rPr>
      </w:pPr>
    </w:p>
    <w:p w:rsidR="00DD3D25" w:rsidRPr="005609D9" w:rsidRDefault="00DD3D25" w:rsidP="00F86208">
      <w:pPr>
        <w:jc w:val="both"/>
        <w:rPr>
          <w:rFonts w:ascii="Times New Roman" w:hAnsi="Times New Roman" w:cs="Times New Roman"/>
          <w:b/>
          <w:sz w:val="24"/>
          <w:szCs w:val="26"/>
        </w:rPr>
      </w:pPr>
    </w:p>
    <w:p w:rsidR="00DD3D25" w:rsidRPr="005609D9" w:rsidRDefault="00DD3D25" w:rsidP="00F86208">
      <w:pPr>
        <w:jc w:val="both"/>
        <w:rPr>
          <w:rFonts w:ascii="Times New Roman" w:hAnsi="Times New Roman" w:cs="Times New Roman"/>
          <w:b/>
          <w:sz w:val="24"/>
          <w:szCs w:val="26"/>
        </w:rPr>
      </w:pPr>
    </w:p>
    <w:p w:rsidR="00DD3D25" w:rsidRPr="005609D9" w:rsidRDefault="00DD3D25" w:rsidP="00F86208">
      <w:pPr>
        <w:jc w:val="both"/>
        <w:rPr>
          <w:rFonts w:ascii="Times New Roman" w:hAnsi="Times New Roman" w:cs="Times New Roman"/>
          <w:b/>
          <w:sz w:val="24"/>
          <w:szCs w:val="26"/>
        </w:rPr>
      </w:pPr>
    </w:p>
    <w:p w:rsidR="00D72D8F" w:rsidRDefault="00D72D8F" w:rsidP="00F86208">
      <w:pPr>
        <w:jc w:val="both"/>
        <w:rPr>
          <w:rFonts w:ascii="Times New Roman" w:hAnsi="Times New Roman" w:cs="Times New Roman"/>
          <w:b/>
          <w:sz w:val="24"/>
          <w:szCs w:val="26"/>
        </w:rPr>
      </w:pPr>
    </w:p>
    <w:p w:rsidR="004A435D" w:rsidRPr="005609D9" w:rsidRDefault="004A435D" w:rsidP="00F86208">
      <w:pPr>
        <w:jc w:val="both"/>
        <w:rPr>
          <w:rFonts w:ascii="Times New Roman" w:hAnsi="Times New Roman" w:cs="Times New Roman"/>
          <w:b/>
          <w:sz w:val="24"/>
          <w:szCs w:val="26"/>
        </w:rPr>
      </w:pPr>
    </w:p>
    <w:p w:rsidR="00C1352C" w:rsidRPr="00F86208" w:rsidRDefault="00C1352C" w:rsidP="00F86208">
      <w:pPr>
        <w:jc w:val="both"/>
        <w:rPr>
          <w:rFonts w:ascii="Times New Roman" w:hAnsi="Times New Roman" w:cs="Times New Roman"/>
          <w:b/>
          <w:sz w:val="26"/>
          <w:szCs w:val="26"/>
        </w:rPr>
      </w:pPr>
      <w:r w:rsidRPr="00F86208">
        <w:rPr>
          <w:rFonts w:ascii="Times New Roman" w:hAnsi="Times New Roman" w:cs="Times New Roman"/>
          <w:b/>
          <w:sz w:val="26"/>
          <w:szCs w:val="26"/>
        </w:rPr>
        <w:lastRenderedPageBreak/>
        <w:t>Shkalla e përmbushjes së standardeve të cilësisë së programit</w:t>
      </w:r>
    </w:p>
    <w:tbl>
      <w:tblPr>
        <w:tblStyle w:val="TableGrid"/>
        <w:tblW w:w="9445" w:type="dxa"/>
        <w:tblLook w:val="04A0" w:firstRow="1" w:lastRow="0" w:firstColumn="1" w:lastColumn="0" w:noHBand="0" w:noVBand="1"/>
      </w:tblPr>
      <w:tblGrid>
        <w:gridCol w:w="2937"/>
        <w:gridCol w:w="1497"/>
        <w:gridCol w:w="1569"/>
        <w:gridCol w:w="1569"/>
        <w:gridCol w:w="1873"/>
      </w:tblGrid>
      <w:tr w:rsidR="00C1352C" w:rsidTr="00F86208">
        <w:trPr>
          <w:trHeight w:val="465"/>
        </w:trPr>
        <w:tc>
          <w:tcPr>
            <w:tcW w:w="2965" w:type="dxa"/>
            <w:vMerge w:val="restart"/>
            <w:shd w:val="clear" w:color="auto" w:fill="F4B083" w:themeFill="accent2" w:themeFillTint="99"/>
          </w:tcPr>
          <w:p w:rsidR="00C1352C" w:rsidRPr="006A0202" w:rsidRDefault="00C1352C" w:rsidP="00243BA4">
            <w:pPr>
              <w:jc w:val="center"/>
              <w:rPr>
                <w:rFonts w:ascii="Times New Roman" w:hAnsi="Times New Roman" w:cs="Times New Roman"/>
                <w:b/>
                <w:sz w:val="24"/>
                <w:szCs w:val="24"/>
              </w:rPr>
            </w:pPr>
            <w:r w:rsidRPr="006A0202">
              <w:rPr>
                <w:rFonts w:ascii="Times New Roman" w:hAnsi="Times New Roman" w:cs="Times New Roman"/>
                <w:b/>
                <w:sz w:val="24"/>
                <w:szCs w:val="24"/>
              </w:rPr>
              <w:t>FUSHAT E VLER</w:t>
            </w:r>
            <w:r>
              <w:rPr>
                <w:rFonts w:ascii="Times New Roman" w:hAnsi="Times New Roman" w:cs="Times New Roman"/>
                <w:b/>
                <w:sz w:val="24"/>
                <w:szCs w:val="24"/>
              </w:rPr>
              <w:t>Ë</w:t>
            </w:r>
            <w:r w:rsidRPr="006A0202">
              <w:rPr>
                <w:rFonts w:ascii="Times New Roman" w:hAnsi="Times New Roman" w:cs="Times New Roman"/>
                <w:b/>
                <w:sz w:val="24"/>
                <w:szCs w:val="24"/>
              </w:rPr>
              <w:t>SIMIT</w:t>
            </w:r>
          </w:p>
        </w:tc>
        <w:tc>
          <w:tcPr>
            <w:tcW w:w="6480" w:type="dxa"/>
            <w:gridSpan w:val="4"/>
            <w:shd w:val="clear" w:color="auto" w:fill="FBE4D5" w:themeFill="accent2" w:themeFillTint="33"/>
          </w:tcPr>
          <w:p w:rsidR="00C1352C" w:rsidRPr="009C551A" w:rsidRDefault="00C1352C" w:rsidP="00243BA4">
            <w:pPr>
              <w:rPr>
                <w:rFonts w:ascii="Times New Roman" w:hAnsi="Times New Roman" w:cs="Times New Roman"/>
                <w:b/>
              </w:rPr>
            </w:pPr>
            <w:r w:rsidRPr="009C551A">
              <w:rPr>
                <w:rFonts w:ascii="Times New Roman" w:hAnsi="Times New Roman" w:cs="Times New Roman"/>
                <w:b/>
              </w:rPr>
              <w:t>SHKALLA E PËRMBUSHJES SË STANDARDEVE TË FUSHËS</w:t>
            </w:r>
          </w:p>
        </w:tc>
      </w:tr>
      <w:tr w:rsidR="00C1352C" w:rsidTr="00243BA4">
        <w:tc>
          <w:tcPr>
            <w:tcW w:w="2965" w:type="dxa"/>
            <w:vMerge/>
            <w:shd w:val="clear" w:color="auto" w:fill="F4B083" w:themeFill="accent2" w:themeFillTint="99"/>
          </w:tcPr>
          <w:p w:rsidR="00C1352C" w:rsidRDefault="00C1352C" w:rsidP="00243BA4">
            <w:pPr>
              <w:rPr>
                <w:rFonts w:ascii="Times New Roman" w:hAnsi="Times New Roman" w:cs="Times New Roman"/>
                <w:b/>
                <w:sz w:val="28"/>
                <w:szCs w:val="28"/>
              </w:rPr>
            </w:pPr>
          </w:p>
        </w:tc>
        <w:tc>
          <w:tcPr>
            <w:tcW w:w="1406" w:type="dxa"/>
            <w:shd w:val="clear" w:color="auto" w:fill="FF0000"/>
          </w:tcPr>
          <w:p w:rsidR="00C1352C" w:rsidRPr="00F66674" w:rsidRDefault="00C1352C" w:rsidP="00243BA4">
            <w:pPr>
              <w:jc w:val="center"/>
              <w:rPr>
                <w:rFonts w:ascii="Times New Roman" w:hAnsi="Times New Roman" w:cs="Times New Roman"/>
                <w:b/>
                <w:sz w:val="24"/>
                <w:szCs w:val="24"/>
              </w:rPr>
            </w:pPr>
            <w:r w:rsidRPr="00F66674">
              <w:rPr>
                <w:rFonts w:ascii="Times New Roman" w:hAnsi="Times New Roman" w:cs="Times New Roman"/>
                <w:b/>
                <w:sz w:val="24"/>
                <w:szCs w:val="24"/>
              </w:rPr>
              <w:t>Nuk p</w:t>
            </w:r>
            <w:r>
              <w:rPr>
                <w:rFonts w:ascii="Times New Roman" w:hAnsi="Times New Roman" w:cs="Times New Roman"/>
                <w:b/>
                <w:sz w:val="24"/>
                <w:szCs w:val="24"/>
              </w:rPr>
              <w:t>ë</w:t>
            </w:r>
            <w:r w:rsidRPr="00F66674">
              <w:rPr>
                <w:rFonts w:ascii="Times New Roman" w:hAnsi="Times New Roman" w:cs="Times New Roman"/>
                <w:b/>
                <w:sz w:val="24"/>
                <w:szCs w:val="24"/>
              </w:rPr>
              <w:t>rmbushen</w:t>
            </w:r>
          </w:p>
        </w:tc>
        <w:tc>
          <w:tcPr>
            <w:tcW w:w="1577" w:type="dxa"/>
            <w:shd w:val="clear" w:color="auto" w:fill="FF6600"/>
          </w:tcPr>
          <w:p w:rsidR="00C1352C" w:rsidRPr="00F66674" w:rsidRDefault="00C1352C" w:rsidP="00243BA4">
            <w:pPr>
              <w:jc w:val="center"/>
              <w:rPr>
                <w:rFonts w:ascii="Times New Roman" w:hAnsi="Times New Roman" w:cs="Times New Roman"/>
                <w:b/>
                <w:sz w:val="24"/>
                <w:szCs w:val="24"/>
              </w:rPr>
            </w:pPr>
            <w:r w:rsidRPr="00F66674">
              <w:rPr>
                <w:rFonts w:ascii="Times New Roman" w:hAnsi="Times New Roman" w:cs="Times New Roman"/>
                <w:b/>
                <w:sz w:val="24"/>
                <w:szCs w:val="24"/>
              </w:rPr>
              <w:t>P</w:t>
            </w:r>
            <w:r>
              <w:rPr>
                <w:rFonts w:ascii="Times New Roman" w:hAnsi="Times New Roman" w:cs="Times New Roman"/>
                <w:b/>
                <w:sz w:val="24"/>
                <w:szCs w:val="24"/>
              </w:rPr>
              <w:t>ë</w:t>
            </w:r>
            <w:r w:rsidRPr="00F66674">
              <w:rPr>
                <w:rFonts w:ascii="Times New Roman" w:hAnsi="Times New Roman" w:cs="Times New Roman"/>
                <w:b/>
                <w:sz w:val="24"/>
                <w:szCs w:val="24"/>
              </w:rPr>
              <w:t>rmbushen pjes</w:t>
            </w:r>
            <w:r>
              <w:rPr>
                <w:rFonts w:ascii="Times New Roman" w:hAnsi="Times New Roman" w:cs="Times New Roman"/>
                <w:b/>
                <w:sz w:val="24"/>
                <w:szCs w:val="24"/>
              </w:rPr>
              <w:t>ë</w:t>
            </w:r>
            <w:r w:rsidRPr="00F66674">
              <w:rPr>
                <w:rFonts w:ascii="Times New Roman" w:hAnsi="Times New Roman" w:cs="Times New Roman"/>
                <w:b/>
                <w:sz w:val="24"/>
                <w:szCs w:val="24"/>
              </w:rPr>
              <w:t>risht</w:t>
            </w:r>
          </w:p>
        </w:tc>
        <w:tc>
          <w:tcPr>
            <w:tcW w:w="1577" w:type="dxa"/>
            <w:shd w:val="clear" w:color="auto" w:fill="CCCC00"/>
          </w:tcPr>
          <w:p w:rsidR="00C1352C" w:rsidRPr="00F66674" w:rsidRDefault="00C1352C" w:rsidP="00243BA4">
            <w:pPr>
              <w:jc w:val="center"/>
              <w:rPr>
                <w:rFonts w:ascii="Times New Roman" w:hAnsi="Times New Roman" w:cs="Times New Roman"/>
                <w:b/>
                <w:sz w:val="24"/>
                <w:szCs w:val="24"/>
              </w:rPr>
            </w:pPr>
            <w:r w:rsidRPr="00F66674">
              <w:rPr>
                <w:rFonts w:ascii="Times New Roman" w:hAnsi="Times New Roman" w:cs="Times New Roman"/>
                <w:b/>
                <w:sz w:val="24"/>
                <w:szCs w:val="24"/>
              </w:rPr>
              <w:t>P</w:t>
            </w:r>
            <w:r>
              <w:rPr>
                <w:rFonts w:ascii="Times New Roman" w:hAnsi="Times New Roman" w:cs="Times New Roman"/>
                <w:b/>
                <w:sz w:val="24"/>
                <w:szCs w:val="24"/>
              </w:rPr>
              <w:t>ë</w:t>
            </w:r>
            <w:r w:rsidRPr="00F66674">
              <w:rPr>
                <w:rFonts w:ascii="Times New Roman" w:hAnsi="Times New Roman" w:cs="Times New Roman"/>
                <w:b/>
                <w:sz w:val="24"/>
                <w:szCs w:val="24"/>
              </w:rPr>
              <w:t>rmbushen kryesisht</w:t>
            </w:r>
          </w:p>
        </w:tc>
        <w:tc>
          <w:tcPr>
            <w:tcW w:w="1920" w:type="dxa"/>
            <w:shd w:val="clear" w:color="auto" w:fill="92D050"/>
          </w:tcPr>
          <w:p w:rsidR="00C1352C" w:rsidRPr="00F66674" w:rsidRDefault="00C1352C" w:rsidP="00243BA4">
            <w:pPr>
              <w:jc w:val="center"/>
              <w:rPr>
                <w:rFonts w:ascii="Times New Roman" w:hAnsi="Times New Roman" w:cs="Times New Roman"/>
                <w:b/>
                <w:sz w:val="24"/>
                <w:szCs w:val="24"/>
              </w:rPr>
            </w:pPr>
            <w:r w:rsidRPr="00F66674">
              <w:rPr>
                <w:rFonts w:ascii="Times New Roman" w:hAnsi="Times New Roman" w:cs="Times New Roman"/>
                <w:b/>
                <w:sz w:val="24"/>
                <w:szCs w:val="24"/>
              </w:rPr>
              <w:t>P</w:t>
            </w:r>
            <w:r>
              <w:rPr>
                <w:rFonts w:ascii="Times New Roman" w:hAnsi="Times New Roman" w:cs="Times New Roman"/>
                <w:b/>
                <w:sz w:val="24"/>
                <w:szCs w:val="24"/>
              </w:rPr>
              <w:t>ë</w:t>
            </w:r>
            <w:r w:rsidRPr="00F66674">
              <w:rPr>
                <w:rFonts w:ascii="Times New Roman" w:hAnsi="Times New Roman" w:cs="Times New Roman"/>
                <w:b/>
                <w:sz w:val="24"/>
                <w:szCs w:val="24"/>
              </w:rPr>
              <w:t>rmbushen plot</w:t>
            </w:r>
            <w:r>
              <w:rPr>
                <w:rFonts w:ascii="Times New Roman" w:hAnsi="Times New Roman" w:cs="Times New Roman"/>
                <w:b/>
                <w:sz w:val="24"/>
                <w:szCs w:val="24"/>
              </w:rPr>
              <w:t>ë</w:t>
            </w:r>
            <w:r w:rsidRPr="00F66674">
              <w:rPr>
                <w:rFonts w:ascii="Times New Roman" w:hAnsi="Times New Roman" w:cs="Times New Roman"/>
                <w:b/>
                <w:sz w:val="24"/>
                <w:szCs w:val="24"/>
              </w:rPr>
              <w:t>sisht</w:t>
            </w:r>
          </w:p>
        </w:tc>
      </w:tr>
      <w:tr w:rsidR="00C1352C" w:rsidTr="00243BA4">
        <w:tc>
          <w:tcPr>
            <w:tcW w:w="2965" w:type="dxa"/>
            <w:shd w:val="clear" w:color="auto" w:fill="FBE4D5" w:themeFill="accent2" w:themeFillTint="33"/>
          </w:tcPr>
          <w:p w:rsidR="00C1352C" w:rsidRPr="00D72D8F" w:rsidRDefault="00D72D8F" w:rsidP="00D72D8F">
            <w:pPr>
              <w:pStyle w:val="ListParagraph"/>
              <w:numPr>
                <w:ilvl w:val="0"/>
                <w:numId w:val="4"/>
              </w:numPr>
              <w:ind w:left="426" w:hanging="360"/>
              <w:rPr>
                <w:rFonts w:ascii="Times New Roman" w:eastAsia="Times New Roman" w:hAnsi="Times New Roman" w:cs="Times New Roman"/>
                <w:b/>
                <w:bCs/>
                <w:lang w:val="sq-AL"/>
              </w:rPr>
            </w:pPr>
            <w:r w:rsidRPr="00D72D8F">
              <w:rPr>
                <w:rFonts w:ascii="Times New Roman" w:eastAsia="Times New Roman" w:hAnsi="Times New Roman" w:cs="Times New Roman"/>
                <w:b/>
                <w:bCs/>
                <w:lang w:val="sq-AL"/>
              </w:rPr>
              <w:t>KUADRI I PËRGJITHSHËM I PROGRAMIT SPECIALIZIM AFATGJATË</w:t>
            </w:r>
          </w:p>
        </w:tc>
        <w:tc>
          <w:tcPr>
            <w:tcW w:w="1406" w:type="dxa"/>
          </w:tcPr>
          <w:p w:rsidR="00C1352C" w:rsidRDefault="00C1352C" w:rsidP="00243BA4">
            <w:pPr>
              <w:rPr>
                <w:rFonts w:ascii="Times New Roman" w:hAnsi="Times New Roman" w:cs="Times New Roman"/>
                <w:b/>
                <w:sz w:val="28"/>
                <w:szCs w:val="28"/>
              </w:rPr>
            </w:pPr>
          </w:p>
        </w:tc>
        <w:tc>
          <w:tcPr>
            <w:tcW w:w="1577" w:type="dxa"/>
          </w:tcPr>
          <w:p w:rsidR="00C1352C" w:rsidRDefault="00C1352C" w:rsidP="00243BA4">
            <w:pPr>
              <w:rPr>
                <w:rFonts w:ascii="Times New Roman" w:hAnsi="Times New Roman" w:cs="Times New Roman"/>
                <w:b/>
                <w:sz w:val="28"/>
                <w:szCs w:val="28"/>
              </w:rPr>
            </w:pPr>
          </w:p>
        </w:tc>
        <w:tc>
          <w:tcPr>
            <w:tcW w:w="1577" w:type="dxa"/>
          </w:tcPr>
          <w:p w:rsidR="00C1352C" w:rsidRDefault="00C1352C" w:rsidP="00243BA4">
            <w:pPr>
              <w:rPr>
                <w:rFonts w:ascii="Times New Roman" w:hAnsi="Times New Roman" w:cs="Times New Roman"/>
                <w:b/>
                <w:sz w:val="28"/>
                <w:szCs w:val="28"/>
              </w:rPr>
            </w:pPr>
          </w:p>
        </w:tc>
        <w:tc>
          <w:tcPr>
            <w:tcW w:w="1920" w:type="dxa"/>
          </w:tcPr>
          <w:p w:rsidR="00C1352C" w:rsidRDefault="00C1352C" w:rsidP="00243BA4">
            <w:pPr>
              <w:rPr>
                <w:rFonts w:ascii="Times New Roman" w:hAnsi="Times New Roman" w:cs="Times New Roman"/>
                <w:b/>
                <w:sz w:val="28"/>
                <w:szCs w:val="28"/>
              </w:rPr>
            </w:pPr>
          </w:p>
        </w:tc>
      </w:tr>
      <w:tr w:rsidR="00C1352C" w:rsidTr="00243BA4">
        <w:tc>
          <w:tcPr>
            <w:tcW w:w="2965" w:type="dxa"/>
            <w:shd w:val="clear" w:color="auto" w:fill="FBE4D5" w:themeFill="accent2" w:themeFillTint="33"/>
          </w:tcPr>
          <w:p w:rsidR="00C1352C" w:rsidRPr="00D72D8F" w:rsidRDefault="00D72D8F" w:rsidP="00D72D8F">
            <w:pPr>
              <w:pStyle w:val="ListParagraph"/>
              <w:numPr>
                <w:ilvl w:val="0"/>
                <w:numId w:val="4"/>
              </w:numPr>
              <w:ind w:left="426" w:hanging="360"/>
              <w:rPr>
                <w:rFonts w:ascii="Times New Roman" w:eastAsia="?????? Pro W3" w:hAnsi="Times New Roman" w:cs="Times New Roman"/>
                <w:b/>
                <w:bCs/>
                <w:color w:val="000000"/>
                <w:lang w:val="sq-AL"/>
              </w:rPr>
            </w:pPr>
            <w:r w:rsidRPr="00D72D8F">
              <w:rPr>
                <w:rFonts w:ascii="Times New Roman" w:eastAsia="?????? Pro W3" w:hAnsi="Times New Roman" w:cs="Times New Roman"/>
                <w:b/>
                <w:bCs/>
                <w:color w:val="000000"/>
                <w:lang w:val="sq-AL"/>
              </w:rPr>
              <w:t>ORGANIZIMI, STRUKTURA DHE ADMINISTRIMI I PROGRAMIT</w:t>
            </w:r>
          </w:p>
        </w:tc>
        <w:tc>
          <w:tcPr>
            <w:tcW w:w="1406" w:type="dxa"/>
          </w:tcPr>
          <w:p w:rsidR="00C1352C" w:rsidRDefault="00C1352C" w:rsidP="00243BA4">
            <w:pPr>
              <w:rPr>
                <w:rFonts w:ascii="Times New Roman" w:hAnsi="Times New Roman" w:cs="Times New Roman"/>
                <w:b/>
                <w:sz w:val="28"/>
                <w:szCs w:val="28"/>
              </w:rPr>
            </w:pPr>
          </w:p>
        </w:tc>
        <w:tc>
          <w:tcPr>
            <w:tcW w:w="1577" w:type="dxa"/>
          </w:tcPr>
          <w:p w:rsidR="00C1352C" w:rsidRDefault="00C1352C" w:rsidP="00243BA4">
            <w:pPr>
              <w:rPr>
                <w:rFonts w:ascii="Times New Roman" w:hAnsi="Times New Roman" w:cs="Times New Roman"/>
                <w:b/>
                <w:sz w:val="28"/>
                <w:szCs w:val="28"/>
              </w:rPr>
            </w:pPr>
          </w:p>
        </w:tc>
        <w:tc>
          <w:tcPr>
            <w:tcW w:w="1577" w:type="dxa"/>
          </w:tcPr>
          <w:p w:rsidR="00C1352C" w:rsidRDefault="00C1352C" w:rsidP="00243BA4">
            <w:pPr>
              <w:rPr>
                <w:rFonts w:ascii="Times New Roman" w:hAnsi="Times New Roman" w:cs="Times New Roman"/>
                <w:b/>
                <w:sz w:val="28"/>
                <w:szCs w:val="28"/>
              </w:rPr>
            </w:pPr>
          </w:p>
        </w:tc>
        <w:tc>
          <w:tcPr>
            <w:tcW w:w="1920" w:type="dxa"/>
          </w:tcPr>
          <w:p w:rsidR="00C1352C" w:rsidRDefault="00C1352C" w:rsidP="00243BA4">
            <w:pPr>
              <w:rPr>
                <w:rFonts w:ascii="Times New Roman" w:hAnsi="Times New Roman" w:cs="Times New Roman"/>
                <w:b/>
                <w:sz w:val="28"/>
                <w:szCs w:val="28"/>
              </w:rPr>
            </w:pPr>
          </w:p>
        </w:tc>
      </w:tr>
      <w:tr w:rsidR="00C1352C" w:rsidTr="00243BA4">
        <w:tc>
          <w:tcPr>
            <w:tcW w:w="2965" w:type="dxa"/>
            <w:shd w:val="clear" w:color="auto" w:fill="FBE4D5" w:themeFill="accent2" w:themeFillTint="33"/>
          </w:tcPr>
          <w:p w:rsidR="00C1352C" w:rsidRPr="004876A1" w:rsidRDefault="00D72D8F" w:rsidP="00D72D8F">
            <w:pPr>
              <w:pStyle w:val="ListParagraph"/>
              <w:numPr>
                <w:ilvl w:val="0"/>
                <w:numId w:val="4"/>
              </w:numPr>
              <w:spacing w:line="276" w:lineRule="auto"/>
              <w:ind w:left="426" w:hanging="360"/>
              <w:rPr>
                <w:rFonts w:ascii="Baskerville Old Face" w:hAnsi="Baskerville Old Face"/>
                <w:b/>
              </w:rPr>
            </w:pPr>
            <w:r w:rsidRPr="00D72D8F">
              <w:rPr>
                <w:rFonts w:ascii="Times New Roman" w:hAnsi="Times New Roman" w:cs="Times New Roman"/>
                <w:b/>
                <w:lang w:val="sq-AL"/>
              </w:rPr>
              <w:t>BURIMET NË FUNKSION TË PROGRAMIT SPECIALIZIM AFATGJATË</w:t>
            </w:r>
          </w:p>
        </w:tc>
        <w:tc>
          <w:tcPr>
            <w:tcW w:w="1406" w:type="dxa"/>
          </w:tcPr>
          <w:p w:rsidR="00C1352C" w:rsidRDefault="00C1352C" w:rsidP="00243BA4">
            <w:pPr>
              <w:rPr>
                <w:rFonts w:ascii="Times New Roman" w:hAnsi="Times New Roman" w:cs="Times New Roman"/>
                <w:b/>
                <w:sz w:val="28"/>
                <w:szCs w:val="28"/>
              </w:rPr>
            </w:pPr>
          </w:p>
        </w:tc>
        <w:tc>
          <w:tcPr>
            <w:tcW w:w="1577" w:type="dxa"/>
          </w:tcPr>
          <w:p w:rsidR="00C1352C" w:rsidRDefault="00C1352C" w:rsidP="00243BA4">
            <w:pPr>
              <w:rPr>
                <w:rFonts w:ascii="Times New Roman" w:hAnsi="Times New Roman" w:cs="Times New Roman"/>
                <w:b/>
                <w:sz w:val="28"/>
                <w:szCs w:val="28"/>
              </w:rPr>
            </w:pPr>
          </w:p>
        </w:tc>
        <w:tc>
          <w:tcPr>
            <w:tcW w:w="1577" w:type="dxa"/>
          </w:tcPr>
          <w:p w:rsidR="00C1352C" w:rsidRDefault="00C1352C" w:rsidP="00243BA4">
            <w:pPr>
              <w:rPr>
                <w:rFonts w:ascii="Times New Roman" w:hAnsi="Times New Roman" w:cs="Times New Roman"/>
                <w:b/>
                <w:sz w:val="28"/>
                <w:szCs w:val="28"/>
              </w:rPr>
            </w:pPr>
          </w:p>
        </w:tc>
        <w:tc>
          <w:tcPr>
            <w:tcW w:w="1920" w:type="dxa"/>
          </w:tcPr>
          <w:p w:rsidR="00C1352C" w:rsidRDefault="00C1352C" w:rsidP="00243BA4">
            <w:pPr>
              <w:rPr>
                <w:rFonts w:ascii="Times New Roman" w:hAnsi="Times New Roman" w:cs="Times New Roman"/>
                <w:b/>
                <w:sz w:val="28"/>
                <w:szCs w:val="28"/>
              </w:rPr>
            </w:pPr>
          </w:p>
        </w:tc>
      </w:tr>
      <w:tr w:rsidR="00C1352C" w:rsidTr="00243BA4">
        <w:tc>
          <w:tcPr>
            <w:tcW w:w="2965" w:type="dxa"/>
            <w:shd w:val="clear" w:color="auto" w:fill="FBE4D5" w:themeFill="accent2" w:themeFillTint="33"/>
          </w:tcPr>
          <w:p w:rsidR="00C1352C" w:rsidRPr="004876A1" w:rsidRDefault="00D72D8F" w:rsidP="00D72D8F">
            <w:pPr>
              <w:pStyle w:val="ListParagraph"/>
              <w:numPr>
                <w:ilvl w:val="0"/>
                <w:numId w:val="4"/>
              </w:numPr>
              <w:ind w:left="426" w:hanging="360"/>
              <w:rPr>
                <w:rFonts w:ascii="Times New Roman" w:hAnsi="Times New Roman" w:cs="Times New Roman"/>
                <w:b/>
              </w:rPr>
            </w:pPr>
            <w:r w:rsidRPr="00D72D8F">
              <w:rPr>
                <w:rFonts w:ascii="Times New Roman" w:eastAsia="Times New Roman" w:hAnsi="Times New Roman" w:cs="Times New Roman"/>
                <w:b/>
                <w:bCs/>
                <w:color w:val="000000" w:themeColor="text1"/>
                <w:lang w:val="sq-AL"/>
              </w:rPr>
              <w:t>KËRKIMI DHE EKSPERIENCA KLINIKE /DIAGNOSTIKUESE</w:t>
            </w:r>
          </w:p>
        </w:tc>
        <w:tc>
          <w:tcPr>
            <w:tcW w:w="1406" w:type="dxa"/>
          </w:tcPr>
          <w:p w:rsidR="00C1352C" w:rsidRDefault="00C1352C" w:rsidP="00243BA4">
            <w:pPr>
              <w:rPr>
                <w:rFonts w:ascii="Times New Roman" w:hAnsi="Times New Roman" w:cs="Times New Roman"/>
                <w:b/>
                <w:sz w:val="28"/>
                <w:szCs w:val="28"/>
              </w:rPr>
            </w:pPr>
          </w:p>
        </w:tc>
        <w:tc>
          <w:tcPr>
            <w:tcW w:w="1577" w:type="dxa"/>
          </w:tcPr>
          <w:p w:rsidR="00C1352C" w:rsidRDefault="00C1352C" w:rsidP="00243BA4">
            <w:pPr>
              <w:rPr>
                <w:rFonts w:ascii="Times New Roman" w:hAnsi="Times New Roman" w:cs="Times New Roman"/>
                <w:b/>
                <w:sz w:val="28"/>
                <w:szCs w:val="28"/>
              </w:rPr>
            </w:pPr>
          </w:p>
        </w:tc>
        <w:tc>
          <w:tcPr>
            <w:tcW w:w="1577" w:type="dxa"/>
          </w:tcPr>
          <w:p w:rsidR="00C1352C" w:rsidRDefault="00C1352C" w:rsidP="00243BA4">
            <w:pPr>
              <w:rPr>
                <w:rFonts w:ascii="Times New Roman" w:hAnsi="Times New Roman" w:cs="Times New Roman"/>
                <w:b/>
                <w:sz w:val="28"/>
                <w:szCs w:val="28"/>
              </w:rPr>
            </w:pPr>
          </w:p>
        </w:tc>
        <w:tc>
          <w:tcPr>
            <w:tcW w:w="1920" w:type="dxa"/>
          </w:tcPr>
          <w:p w:rsidR="00C1352C" w:rsidRDefault="00C1352C" w:rsidP="00243BA4">
            <w:pPr>
              <w:rPr>
                <w:rFonts w:ascii="Times New Roman" w:hAnsi="Times New Roman" w:cs="Times New Roman"/>
                <w:b/>
                <w:sz w:val="28"/>
                <w:szCs w:val="28"/>
              </w:rPr>
            </w:pPr>
          </w:p>
        </w:tc>
      </w:tr>
      <w:tr w:rsidR="00C1352C" w:rsidTr="00243BA4">
        <w:tc>
          <w:tcPr>
            <w:tcW w:w="2965" w:type="dxa"/>
            <w:shd w:val="clear" w:color="auto" w:fill="FBE4D5" w:themeFill="accent2" w:themeFillTint="33"/>
          </w:tcPr>
          <w:p w:rsidR="00C1352C" w:rsidRPr="004876A1" w:rsidRDefault="00D72D8F" w:rsidP="00F86208">
            <w:pPr>
              <w:pStyle w:val="ListParagraph"/>
              <w:numPr>
                <w:ilvl w:val="0"/>
                <w:numId w:val="4"/>
              </w:numPr>
              <w:spacing w:line="276" w:lineRule="auto"/>
              <w:ind w:left="426" w:hanging="360"/>
              <w:rPr>
                <w:rFonts w:ascii="Baskerville Old Face" w:hAnsi="Baskerville Old Face"/>
                <w:b/>
              </w:rPr>
            </w:pPr>
            <w:r>
              <w:rPr>
                <w:rFonts w:ascii="Times New Roman" w:eastAsia="Times New Roman" w:hAnsi="Times New Roman" w:cs="Times New Roman"/>
                <w:b/>
                <w:lang w:val="sq-AL"/>
              </w:rPr>
              <w:t xml:space="preserve">STUDENTËT </w:t>
            </w:r>
          </w:p>
        </w:tc>
        <w:tc>
          <w:tcPr>
            <w:tcW w:w="1406" w:type="dxa"/>
          </w:tcPr>
          <w:p w:rsidR="00C1352C" w:rsidRDefault="00C1352C" w:rsidP="00243BA4">
            <w:pPr>
              <w:rPr>
                <w:rFonts w:ascii="Times New Roman" w:hAnsi="Times New Roman" w:cs="Times New Roman"/>
                <w:b/>
                <w:sz w:val="28"/>
                <w:szCs w:val="28"/>
              </w:rPr>
            </w:pPr>
          </w:p>
        </w:tc>
        <w:tc>
          <w:tcPr>
            <w:tcW w:w="1577" w:type="dxa"/>
          </w:tcPr>
          <w:p w:rsidR="00C1352C" w:rsidRDefault="00C1352C" w:rsidP="00243BA4">
            <w:pPr>
              <w:rPr>
                <w:rFonts w:ascii="Times New Roman" w:hAnsi="Times New Roman" w:cs="Times New Roman"/>
                <w:b/>
                <w:sz w:val="28"/>
                <w:szCs w:val="28"/>
              </w:rPr>
            </w:pPr>
          </w:p>
        </w:tc>
        <w:tc>
          <w:tcPr>
            <w:tcW w:w="1577" w:type="dxa"/>
          </w:tcPr>
          <w:p w:rsidR="00C1352C" w:rsidRDefault="00C1352C" w:rsidP="00243BA4">
            <w:pPr>
              <w:rPr>
                <w:rFonts w:ascii="Times New Roman" w:hAnsi="Times New Roman" w:cs="Times New Roman"/>
                <w:b/>
                <w:sz w:val="28"/>
                <w:szCs w:val="28"/>
              </w:rPr>
            </w:pPr>
          </w:p>
        </w:tc>
        <w:tc>
          <w:tcPr>
            <w:tcW w:w="1920" w:type="dxa"/>
          </w:tcPr>
          <w:p w:rsidR="00C1352C" w:rsidRDefault="00C1352C" w:rsidP="00243BA4">
            <w:pPr>
              <w:rPr>
                <w:rFonts w:ascii="Times New Roman" w:hAnsi="Times New Roman" w:cs="Times New Roman"/>
                <w:b/>
                <w:sz w:val="28"/>
                <w:szCs w:val="28"/>
              </w:rPr>
            </w:pPr>
          </w:p>
        </w:tc>
      </w:tr>
      <w:tr w:rsidR="00C1352C" w:rsidTr="00243BA4">
        <w:tc>
          <w:tcPr>
            <w:tcW w:w="2965" w:type="dxa"/>
            <w:shd w:val="clear" w:color="auto" w:fill="FBE4D5" w:themeFill="accent2" w:themeFillTint="33"/>
          </w:tcPr>
          <w:p w:rsidR="00C1352C" w:rsidRPr="00D72D8F" w:rsidRDefault="00D72D8F" w:rsidP="00D72D8F">
            <w:pPr>
              <w:pStyle w:val="ListParagraph"/>
              <w:numPr>
                <w:ilvl w:val="0"/>
                <w:numId w:val="4"/>
              </w:numPr>
              <w:ind w:left="426" w:hanging="360"/>
              <w:rPr>
                <w:rFonts w:ascii="Times New Roman" w:eastAsia="Times New Roman" w:hAnsi="Times New Roman" w:cs="Times New Roman"/>
                <w:b/>
                <w:bCs/>
                <w:lang w:val="sq-AL"/>
              </w:rPr>
            </w:pPr>
            <w:r w:rsidRPr="00D72D8F">
              <w:rPr>
                <w:rFonts w:ascii="Times New Roman" w:eastAsia="Times New Roman" w:hAnsi="Times New Roman" w:cs="Times New Roman"/>
                <w:b/>
                <w:bCs/>
                <w:lang w:val="sq-AL"/>
              </w:rPr>
              <w:t>SIGURIMI I CILËSISË NË PROGRAMIN E SPECIALIZIMIT AFATGJATË</w:t>
            </w:r>
          </w:p>
        </w:tc>
        <w:tc>
          <w:tcPr>
            <w:tcW w:w="1406" w:type="dxa"/>
          </w:tcPr>
          <w:p w:rsidR="00C1352C" w:rsidRDefault="00C1352C" w:rsidP="00243BA4">
            <w:pPr>
              <w:rPr>
                <w:rFonts w:ascii="Times New Roman" w:hAnsi="Times New Roman" w:cs="Times New Roman"/>
                <w:b/>
                <w:sz w:val="28"/>
                <w:szCs w:val="28"/>
              </w:rPr>
            </w:pPr>
          </w:p>
        </w:tc>
        <w:tc>
          <w:tcPr>
            <w:tcW w:w="1577" w:type="dxa"/>
          </w:tcPr>
          <w:p w:rsidR="00C1352C" w:rsidRDefault="00C1352C" w:rsidP="00243BA4">
            <w:pPr>
              <w:rPr>
                <w:rFonts w:ascii="Times New Roman" w:hAnsi="Times New Roman" w:cs="Times New Roman"/>
                <w:b/>
                <w:sz w:val="28"/>
                <w:szCs w:val="28"/>
              </w:rPr>
            </w:pPr>
          </w:p>
        </w:tc>
        <w:tc>
          <w:tcPr>
            <w:tcW w:w="1577" w:type="dxa"/>
          </w:tcPr>
          <w:p w:rsidR="00C1352C" w:rsidRDefault="00C1352C" w:rsidP="00243BA4">
            <w:pPr>
              <w:rPr>
                <w:rFonts w:ascii="Times New Roman" w:hAnsi="Times New Roman" w:cs="Times New Roman"/>
                <w:b/>
                <w:sz w:val="28"/>
                <w:szCs w:val="28"/>
              </w:rPr>
            </w:pPr>
          </w:p>
        </w:tc>
        <w:tc>
          <w:tcPr>
            <w:tcW w:w="1920" w:type="dxa"/>
          </w:tcPr>
          <w:p w:rsidR="00C1352C" w:rsidRDefault="00C1352C" w:rsidP="00243BA4">
            <w:pPr>
              <w:rPr>
                <w:rFonts w:ascii="Times New Roman" w:hAnsi="Times New Roman" w:cs="Times New Roman"/>
                <w:b/>
                <w:sz w:val="28"/>
                <w:szCs w:val="28"/>
              </w:rPr>
            </w:pPr>
          </w:p>
        </w:tc>
      </w:tr>
      <w:tr w:rsidR="00C1352C" w:rsidTr="00CF7571">
        <w:trPr>
          <w:trHeight w:val="368"/>
        </w:trPr>
        <w:tc>
          <w:tcPr>
            <w:tcW w:w="2965" w:type="dxa"/>
            <w:shd w:val="clear" w:color="auto" w:fill="F4B083" w:themeFill="accent2" w:themeFillTint="99"/>
          </w:tcPr>
          <w:p w:rsidR="00C1352C" w:rsidRPr="00F66674" w:rsidRDefault="00C1352C" w:rsidP="00243BA4">
            <w:pPr>
              <w:spacing w:line="276" w:lineRule="auto"/>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VLERËSIMI TËRËSOR</w:t>
            </w:r>
          </w:p>
        </w:tc>
        <w:tc>
          <w:tcPr>
            <w:tcW w:w="1406" w:type="dxa"/>
          </w:tcPr>
          <w:p w:rsidR="00C1352C" w:rsidRDefault="00C1352C" w:rsidP="00243BA4">
            <w:pPr>
              <w:rPr>
                <w:rFonts w:ascii="Times New Roman" w:hAnsi="Times New Roman" w:cs="Times New Roman"/>
                <w:b/>
                <w:sz w:val="28"/>
                <w:szCs w:val="28"/>
              </w:rPr>
            </w:pPr>
          </w:p>
        </w:tc>
        <w:tc>
          <w:tcPr>
            <w:tcW w:w="1577" w:type="dxa"/>
          </w:tcPr>
          <w:p w:rsidR="00C1352C" w:rsidRDefault="00C1352C" w:rsidP="00243BA4">
            <w:pPr>
              <w:rPr>
                <w:rFonts w:ascii="Times New Roman" w:hAnsi="Times New Roman" w:cs="Times New Roman"/>
                <w:b/>
                <w:sz w:val="28"/>
                <w:szCs w:val="28"/>
              </w:rPr>
            </w:pPr>
          </w:p>
        </w:tc>
        <w:tc>
          <w:tcPr>
            <w:tcW w:w="1577" w:type="dxa"/>
          </w:tcPr>
          <w:p w:rsidR="00C1352C" w:rsidRDefault="00C1352C" w:rsidP="00243BA4">
            <w:pPr>
              <w:rPr>
                <w:rFonts w:ascii="Times New Roman" w:hAnsi="Times New Roman" w:cs="Times New Roman"/>
                <w:b/>
                <w:sz w:val="28"/>
                <w:szCs w:val="28"/>
              </w:rPr>
            </w:pPr>
          </w:p>
        </w:tc>
        <w:tc>
          <w:tcPr>
            <w:tcW w:w="1920" w:type="dxa"/>
          </w:tcPr>
          <w:p w:rsidR="00C1352C" w:rsidRDefault="00C1352C" w:rsidP="00243BA4">
            <w:pPr>
              <w:rPr>
                <w:rFonts w:ascii="Times New Roman" w:hAnsi="Times New Roman" w:cs="Times New Roman"/>
                <w:b/>
                <w:sz w:val="28"/>
                <w:szCs w:val="28"/>
              </w:rPr>
            </w:pPr>
          </w:p>
        </w:tc>
      </w:tr>
    </w:tbl>
    <w:p w:rsidR="001173E2" w:rsidRDefault="001173E2"/>
    <w:p w:rsidR="003F61A0" w:rsidRDefault="003F61A0"/>
    <w:p w:rsidR="003F61A0" w:rsidRDefault="003F61A0"/>
    <w:p w:rsidR="003F61A0" w:rsidRDefault="003F61A0"/>
    <w:p w:rsidR="003F61A0" w:rsidRDefault="003F61A0"/>
    <w:p w:rsidR="003F61A0" w:rsidRDefault="003F61A0"/>
    <w:p w:rsidR="003F61A0" w:rsidRDefault="003F61A0"/>
    <w:p w:rsidR="003F61A0" w:rsidRDefault="003F61A0"/>
    <w:p w:rsidR="003F61A0" w:rsidRDefault="003F61A0"/>
    <w:p w:rsidR="00FA5847" w:rsidRDefault="00FA5847"/>
    <w:p w:rsidR="00FA5847" w:rsidRDefault="00FA5847"/>
    <w:p w:rsidR="00FA5847" w:rsidRDefault="00FA5847"/>
    <w:p w:rsidR="00FA5847" w:rsidRDefault="00FA5847"/>
    <w:p w:rsidR="00FA5847" w:rsidRPr="00F36BA9" w:rsidRDefault="00FA5847" w:rsidP="00FA5847">
      <w:pPr>
        <w:spacing w:after="120" w:line="276" w:lineRule="auto"/>
        <w:ind w:left="357"/>
        <w:jc w:val="both"/>
        <w:rPr>
          <w:rFonts w:ascii="Times New Roman" w:eastAsia="Calibri" w:hAnsi="Times New Roman" w:cs="Times New Roman"/>
          <w:b/>
          <w:color w:val="000000"/>
          <w:sz w:val="24"/>
          <w:szCs w:val="24"/>
          <w:lang w:val="en-GB"/>
        </w:rPr>
      </w:pPr>
      <w:r w:rsidRPr="00F36BA9">
        <w:rPr>
          <w:rFonts w:ascii="Times New Roman" w:eastAsia="Calibri" w:hAnsi="Times New Roman" w:cs="Times New Roman"/>
          <w:b/>
          <w:color w:val="000000"/>
          <w:sz w:val="24"/>
          <w:szCs w:val="24"/>
          <w:lang w:val="en-GB"/>
        </w:rPr>
        <w:lastRenderedPageBreak/>
        <w:t>Lista e dokumenteve bazë për procesin e akreditimit të programeve të studimit</w:t>
      </w:r>
    </w:p>
    <w:p w:rsidR="00FA5847" w:rsidRPr="00F36BA9" w:rsidRDefault="00FA5847" w:rsidP="00FA5847">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Lista e mëposhtme është dokumentacioni i detyrueshëm që institucionet duhet të dorëzojnë së bashku me RVB në kuadër të akreditimit të programeve të studimit. Nuk është e thënë që çdo pikë e mëposhtme duhet të jetë një dokument i veçantë, por në një dokument mund të përmblidhen disa nga të dhënat e kërkuara. Në rastin e programeve të ciklit të dytë (Master i Shkencave) dhe të ciklit të tretë (Specializim Afatgjatë dhe Doktoratë) i gjithë ky dokumentacion duhet të jetë në gjuhën shqip dhe angleze ashtu si dhe RVB. Në cdo rast bazohuni në Manualin për “</w:t>
      </w:r>
      <w:r w:rsidRPr="00F36BA9">
        <w:rPr>
          <w:rFonts w:ascii="Times New Roman" w:eastAsia="Calibri" w:hAnsi="Times New Roman" w:cs="Times New Roman"/>
          <w:i/>
          <w:color w:val="000000"/>
          <w:sz w:val="24"/>
          <w:szCs w:val="24"/>
          <w:lang w:val="en-GB"/>
        </w:rPr>
        <w:t>Procedurat dhe Afatet për Vlerësimin e Cilësisë në kuadër të akreditimit të Institucioneve të Arsimit të Lartë dhe programeve të studimit</w:t>
      </w:r>
      <w:r w:rsidRPr="00F36BA9">
        <w:rPr>
          <w:rFonts w:ascii="Times New Roman" w:eastAsia="Calibri" w:hAnsi="Times New Roman" w:cs="Times New Roman"/>
          <w:color w:val="000000"/>
          <w:sz w:val="24"/>
          <w:szCs w:val="24"/>
          <w:lang w:val="en-GB"/>
        </w:rPr>
        <w:t>”</w:t>
      </w:r>
    </w:p>
    <w:p w:rsidR="00FA5847" w:rsidRPr="00F36BA9" w:rsidRDefault="00FA5847" w:rsidP="00FA5847">
      <w:pPr>
        <w:spacing w:after="120" w:line="276" w:lineRule="auto"/>
        <w:ind w:left="357"/>
        <w:jc w:val="both"/>
        <w:rPr>
          <w:rFonts w:ascii="Times New Roman" w:eastAsia="Calibri" w:hAnsi="Times New Roman" w:cs="Times New Roman"/>
          <w:color w:val="000000"/>
          <w:sz w:val="24"/>
          <w:szCs w:val="24"/>
          <w:lang w:val="en-GB"/>
        </w:rPr>
      </w:pPr>
    </w:p>
    <w:p w:rsidR="00FA5847" w:rsidRPr="00F36BA9" w:rsidRDefault="00FA5847" w:rsidP="00FA5847">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 Rregullore të përgjithshme dhe specifike të funksionimit të njësisë kryesore dhe bazë që ofrojnë</w:t>
      </w:r>
    </w:p>
    <w:p w:rsidR="00FA5847" w:rsidRPr="00F36BA9" w:rsidRDefault="00FA5847" w:rsidP="00FA5847">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Programin;</w:t>
      </w:r>
    </w:p>
    <w:p w:rsidR="00FA5847" w:rsidRPr="00F36BA9" w:rsidRDefault="00FA5847" w:rsidP="00FA5847">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2. Dosja e programit të studimit e plotësuar me të gjitha elementët e nevojshëm;</w:t>
      </w:r>
    </w:p>
    <w:p w:rsidR="00FA5847" w:rsidRPr="00F36BA9" w:rsidRDefault="00FA5847" w:rsidP="00FA5847">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3. Regullore e programit të studimit;</w:t>
      </w:r>
    </w:p>
    <w:p w:rsidR="00FA5847" w:rsidRPr="00F36BA9" w:rsidRDefault="00FA5847" w:rsidP="00FA5847">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4. Misioni dhe studimi i tregut të punës për programin e studimit;</w:t>
      </w:r>
    </w:p>
    <w:p w:rsidR="00FA5847" w:rsidRPr="00F36BA9" w:rsidRDefault="00FA5847" w:rsidP="00FA5847">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5. Strategjia e zhvillimit të programit;</w:t>
      </w:r>
    </w:p>
    <w:p w:rsidR="00FA5847" w:rsidRPr="00F36BA9" w:rsidRDefault="00FA5847" w:rsidP="00FA5847">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6. Dëshmi e respektimit të autonomisë dhe lirisë akademike e financiare;</w:t>
      </w:r>
    </w:p>
    <w:p w:rsidR="00FA5847" w:rsidRPr="00F36BA9" w:rsidRDefault="00FA5847" w:rsidP="00FA5847">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7. Politika të burimeve njerëzore, politikat e punësimit, përfshirë rekrutimin dhe përzgjedhjen;</w:t>
      </w:r>
    </w:p>
    <w:p w:rsidR="00FA5847" w:rsidRPr="00F36BA9" w:rsidRDefault="00FA5847" w:rsidP="00FA5847">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8. Politika e zhvillimit të stafit akademik;</w:t>
      </w:r>
    </w:p>
    <w:p w:rsidR="00FA5847" w:rsidRPr="00F36BA9" w:rsidRDefault="00FA5847" w:rsidP="00FA5847">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9. Struktura organizative e IAL dhe programeve;</w:t>
      </w:r>
    </w:p>
    <w:p w:rsidR="00FA5847" w:rsidRPr="00F36BA9" w:rsidRDefault="00FA5847" w:rsidP="00FA5847">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10. Politika e jashtme për mobilitetin e stafit dhe studentëve;</w:t>
      </w:r>
    </w:p>
    <w:p w:rsidR="00FA5847" w:rsidRPr="00F36BA9" w:rsidRDefault="00FA5847" w:rsidP="00FA5847">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11. Politika për të mësuarit, mësimdhënien dhe cilësinë në mësimdhënie;</w:t>
      </w:r>
    </w:p>
    <w:p w:rsidR="00FA5847" w:rsidRPr="00F36BA9" w:rsidRDefault="00FA5847" w:rsidP="00FA5847">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12. Politika të vlerësimit akademik të stafit e mësimdhënies;</w:t>
      </w:r>
    </w:p>
    <w:p w:rsidR="00FA5847" w:rsidRPr="00F36BA9" w:rsidRDefault="00FA5847" w:rsidP="00FA5847">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13. Rregulloret për testimet e provimet, kriteret dhe procedurat e diplomimit etj;</w:t>
      </w:r>
    </w:p>
    <w:p w:rsidR="00FA5847" w:rsidRPr="00F36BA9" w:rsidRDefault="00FA5847" w:rsidP="00FA5847">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14. Diplomat dhe suplementet e diplomave;</w:t>
      </w:r>
    </w:p>
    <w:p w:rsidR="00FA5847" w:rsidRPr="00F36BA9" w:rsidRDefault="00FA5847" w:rsidP="00FA5847">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15. Procedurë dhe ankimimi për studentët;</w:t>
      </w:r>
    </w:p>
    <w:p w:rsidR="00FA5847" w:rsidRPr="00F36BA9" w:rsidRDefault="00FA5847" w:rsidP="00FA5847">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16. Procedurë për mbështetjen, zhvillimin dhe përmirësimin e cilësisë së programeve të studimit;</w:t>
      </w:r>
    </w:p>
    <w:p w:rsidR="00FA5847" w:rsidRPr="00F36BA9" w:rsidRDefault="00FA5847" w:rsidP="00FA5847">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17. Procedura për përmirësimin e cilësisë së mësimdhënies;</w:t>
      </w:r>
    </w:p>
    <w:p w:rsidR="00FA5847" w:rsidRPr="00F36BA9" w:rsidRDefault="00FA5847" w:rsidP="00FA5847">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18. Politika e pranimit të studentëve;</w:t>
      </w:r>
    </w:p>
    <w:p w:rsidR="00FA5847" w:rsidRPr="00F36BA9" w:rsidRDefault="00FA5847" w:rsidP="00FA5847">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19. Procedura e regjistrimit të studentëve, databaza e studentëve/regjistri;</w:t>
      </w:r>
    </w:p>
    <w:p w:rsidR="00FA5847" w:rsidRPr="00F36BA9" w:rsidRDefault="00FA5847" w:rsidP="00FA5847">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20. Politika të mbështetjes, përkrahjes, u etj për studentët dhe struktura organizative të tyre;</w:t>
      </w:r>
    </w:p>
    <w:p w:rsidR="00FA5847" w:rsidRPr="00F36BA9" w:rsidRDefault="00FA5847" w:rsidP="00FA5847">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21. Veprimtaria kërkimore, monitorimi dhe rezultatet në nivel programi;</w:t>
      </w:r>
    </w:p>
    <w:p w:rsidR="00FA5847" w:rsidRPr="003F4035" w:rsidRDefault="00FA5847" w:rsidP="00FA5847">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lastRenderedPageBreak/>
        <w:t>22. Politika e bashkëpunimit dhe marrëveshjet e partneritetit në funksion të programit;</w:t>
      </w:r>
    </w:p>
    <w:p w:rsidR="00FA5847" w:rsidRDefault="00FA5847"/>
    <w:p w:rsidR="003F61A0" w:rsidRDefault="003F61A0"/>
    <w:p w:rsidR="003F61A0" w:rsidRDefault="003F61A0"/>
    <w:p w:rsidR="003F61A0" w:rsidRDefault="003F61A0"/>
    <w:p w:rsidR="003F61A0" w:rsidRDefault="003F61A0"/>
    <w:sectPr w:rsidR="003F61A0" w:rsidSect="00DD3D25">
      <w:footerReference w:type="default" r:id="rId8"/>
      <w:pgSz w:w="11907" w:h="16839" w:code="9"/>
      <w:pgMar w:top="1440" w:right="1440" w:bottom="1276" w:left="1440" w:header="720" w:footer="4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FBD" w:rsidRDefault="00C46FBD" w:rsidP="00ED503D">
      <w:pPr>
        <w:spacing w:after="0" w:line="240" w:lineRule="auto"/>
      </w:pPr>
      <w:r>
        <w:separator/>
      </w:r>
    </w:p>
  </w:endnote>
  <w:endnote w:type="continuationSeparator" w:id="0">
    <w:p w:rsidR="00C46FBD" w:rsidRDefault="00C46FBD" w:rsidP="00ED5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ig Caslon">
    <w:altName w:val="Times New Roman"/>
    <w:panose1 w:val="00000000000000000000"/>
    <w:charset w:val="00"/>
    <w:family w:val="roman"/>
    <w:notTrueType/>
    <w:pitch w:val="default"/>
    <w:sig w:usb0="00000003" w:usb1="00000000" w:usb2="00000000" w:usb3="00000000" w:csb0="00000001" w:csb1="00000000"/>
  </w:font>
  <w:font w:name="?????? Pro W3">
    <w:altName w:val="Arial Unicode MS"/>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460" w:rsidRDefault="00B85460">
    <w:pPr>
      <w:pStyle w:val="Footer"/>
      <w:jc w:val="center"/>
    </w:pPr>
    <w:r>
      <w:fldChar w:fldCharType="begin"/>
    </w:r>
    <w:r>
      <w:instrText xml:space="preserve"> PAGE   \* MERGEFORMAT </w:instrText>
    </w:r>
    <w:r>
      <w:fldChar w:fldCharType="separate"/>
    </w:r>
    <w:r w:rsidR="007B22D4">
      <w:rPr>
        <w:noProof/>
      </w:rPr>
      <w:t>21</w:t>
    </w:r>
    <w:r>
      <w:rPr>
        <w:noProof/>
      </w:rPr>
      <w:fldChar w:fldCharType="end"/>
    </w:r>
  </w:p>
  <w:p w:rsidR="00B85460" w:rsidRDefault="00B85460">
    <w:pPr>
      <w:pStyle w:val="Footer"/>
    </w:pPr>
  </w:p>
  <w:p w:rsidR="00B85460" w:rsidRDefault="00B8546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874661"/>
      <w:docPartObj>
        <w:docPartGallery w:val="Page Numbers (Bottom of Page)"/>
        <w:docPartUnique/>
      </w:docPartObj>
    </w:sdtPr>
    <w:sdtEndPr/>
    <w:sdtContent>
      <w:p w:rsidR="00B85460" w:rsidRPr="00D06F47" w:rsidRDefault="00B85460" w:rsidP="00BE2961">
        <w:pPr>
          <w:pStyle w:val="Footer"/>
          <w:pBdr>
            <w:top w:val="single" w:sz="4" w:space="0" w:color="auto"/>
          </w:pBdr>
          <w:tabs>
            <w:tab w:val="right" w:pos="9630"/>
          </w:tabs>
          <w:rPr>
            <w:rFonts w:ascii="Baskerville Old Face" w:hAnsi="Baskerville Old Face"/>
            <w:sz w:val="20"/>
            <w:szCs w:val="20"/>
            <w:lang w:val="fr-FR"/>
          </w:rPr>
        </w:pPr>
        <w:r w:rsidRPr="00D06F47">
          <w:rPr>
            <w:rFonts w:ascii="Baskerville Old Face" w:hAnsi="Baskerville Old Face"/>
            <w:sz w:val="20"/>
            <w:szCs w:val="20"/>
            <w:lang w:val="da-DK"/>
          </w:rPr>
          <w:t>Adresa: “Rruga e Durrësit”</w:t>
        </w:r>
        <w:r w:rsidRPr="00D06F47">
          <w:rPr>
            <w:rFonts w:ascii="Baskerville Old Face" w:hAnsi="Baskerville Old Face"/>
            <w:sz w:val="20"/>
            <w:szCs w:val="20"/>
            <w:lang w:val="fr-FR"/>
          </w:rPr>
          <w:tab/>
        </w:r>
        <w:r w:rsidRPr="00D06F47">
          <w:rPr>
            <w:rFonts w:ascii="Baskerville Old Face" w:hAnsi="Baskerville Old Face"/>
            <w:sz w:val="20"/>
            <w:szCs w:val="20"/>
            <w:lang w:val="fr-FR"/>
          </w:rPr>
          <w:tab/>
          <w:t>E-mail: info@ascal.al</w:t>
        </w:r>
      </w:p>
      <w:p w:rsidR="00B85460" w:rsidRPr="00D06F47" w:rsidRDefault="00B85460" w:rsidP="00BE2961">
        <w:pPr>
          <w:pStyle w:val="Footer"/>
          <w:tabs>
            <w:tab w:val="right" w:pos="9630"/>
            <w:tab w:val="right" w:pos="9720"/>
          </w:tabs>
          <w:rPr>
            <w:rFonts w:ascii="Baskerville Old Face" w:hAnsi="Baskerville Old Face"/>
            <w:sz w:val="20"/>
            <w:szCs w:val="20"/>
            <w:lang w:val="fr-FR"/>
          </w:rPr>
        </w:pPr>
        <w:r w:rsidRPr="00D06F47">
          <w:rPr>
            <w:rFonts w:ascii="Baskerville Old Face" w:hAnsi="Baskerville Old Face"/>
            <w:sz w:val="20"/>
            <w:szCs w:val="20"/>
            <w:lang w:val="fr-FR"/>
          </w:rPr>
          <w:t>Pranë gjim. «Q. Staf</w:t>
        </w:r>
        <w:r>
          <w:rPr>
            <w:rFonts w:ascii="Baskerville Old Face" w:hAnsi="Baskerville Old Face"/>
            <w:sz w:val="20"/>
            <w:szCs w:val="20"/>
            <w:lang w:val="fr-FR"/>
          </w:rPr>
          <w:t>a», Tiranë</w:t>
        </w:r>
        <w:r w:rsidRPr="00D06F47">
          <w:rPr>
            <w:rFonts w:ascii="Baskerville Old Face" w:hAnsi="Baskerville Old Face"/>
            <w:sz w:val="20"/>
            <w:szCs w:val="20"/>
            <w:lang w:val="fr-FR"/>
          </w:rPr>
          <w:tab/>
        </w:r>
        <w:r w:rsidRPr="00D06F47">
          <w:rPr>
            <w:rFonts w:ascii="Baskerville Old Face" w:hAnsi="Baskerville Old Face"/>
            <w:sz w:val="20"/>
            <w:szCs w:val="20"/>
            <w:lang w:val="fr-FR"/>
          </w:rPr>
          <w:tab/>
        </w:r>
      </w:p>
      <w:p w:rsidR="00B85460" w:rsidRPr="00243BA4" w:rsidRDefault="00B85460">
        <w:pPr>
          <w:pStyle w:val="Footer"/>
          <w:rPr>
            <w:rFonts w:ascii="Baskerville Old Face" w:hAnsi="Baskerville Old Face"/>
            <w:sz w:val="20"/>
            <w:szCs w:val="20"/>
            <w:lang w:val="fr-FR"/>
          </w:rPr>
        </w:pPr>
        <w:r w:rsidRPr="00D06F47">
          <w:rPr>
            <w:rFonts w:ascii="Baskerville Old Face" w:hAnsi="Baskerville Old Face"/>
            <w:sz w:val="20"/>
            <w:szCs w:val="20"/>
            <w:lang w:val="fr-FR"/>
          </w:rPr>
          <w:t xml:space="preserve">Tel:+355 (04) </w:t>
        </w:r>
        <w:r>
          <w:rPr>
            <w:rFonts w:ascii="Baskerville Old Face" w:hAnsi="Baskerville Old Face" w:cs="Arial"/>
            <w:sz w:val="20"/>
            <w:szCs w:val="20"/>
            <w:lang w:val="it-IT"/>
          </w:rPr>
          <w:t>2</w:t>
        </w:r>
        <w:r w:rsidRPr="00D06F47">
          <w:rPr>
            <w:rFonts w:ascii="Baskerville Old Face" w:hAnsi="Baskerville Old Face" w:cs="Arial"/>
            <w:sz w:val="20"/>
            <w:szCs w:val="20"/>
            <w:lang w:val="it-IT"/>
          </w:rPr>
          <w:t>22</w:t>
        </w:r>
        <w:r>
          <w:rPr>
            <w:rFonts w:ascii="Baskerville Old Face" w:hAnsi="Baskerville Old Face" w:cs="Arial"/>
            <w:sz w:val="20"/>
            <w:szCs w:val="20"/>
            <w:lang w:val="it-IT"/>
          </w:rPr>
          <w:t>-</w:t>
        </w:r>
        <w:r w:rsidRPr="00D06F47">
          <w:rPr>
            <w:rFonts w:ascii="Baskerville Old Face" w:hAnsi="Baskerville Old Face" w:cs="Arial"/>
            <w:sz w:val="20"/>
            <w:szCs w:val="20"/>
            <w:lang w:val="it-IT"/>
          </w:rPr>
          <w:t xml:space="preserve">43423  </w:t>
        </w:r>
        <w:r w:rsidRPr="00D06F47">
          <w:rPr>
            <w:rFonts w:ascii="Baskerville Old Face" w:hAnsi="Baskerville Old Face"/>
            <w:sz w:val="20"/>
            <w:szCs w:val="20"/>
            <w:lang w:val="fr-FR"/>
          </w:rPr>
          <w:tab/>
        </w:r>
        <w:r>
          <w:rPr>
            <w:rFonts w:ascii="Baskerville Old Face" w:hAnsi="Baskerville Old Face"/>
            <w:sz w:val="20"/>
            <w:szCs w:val="20"/>
            <w:lang w:val="fr-FR"/>
          </w:rPr>
          <w:t>W</w:t>
        </w:r>
        <w:r w:rsidRPr="00D06F47">
          <w:rPr>
            <w:rFonts w:ascii="Baskerville Old Face" w:hAnsi="Baskerville Old Face"/>
            <w:sz w:val="20"/>
            <w:szCs w:val="20"/>
            <w:lang w:val="fr-FR"/>
          </w:rPr>
          <w:t xml:space="preserve">eb site: </w:t>
        </w:r>
        <w:hyperlink r:id="rId1" w:history="1">
          <w:r w:rsidRPr="00005242">
            <w:rPr>
              <w:rStyle w:val="Hyperlink"/>
              <w:rFonts w:ascii="Baskerville Old Face" w:hAnsi="Baskerville Old Face"/>
              <w:sz w:val="20"/>
              <w:szCs w:val="20"/>
              <w:lang w:val="fr-FR"/>
            </w:rPr>
            <w:t>www.ascal.al</w:t>
          </w:r>
        </w:hyperlink>
        <w:r>
          <w:rPr>
            <w:rFonts w:ascii="Baskerville Old Face" w:hAnsi="Baskerville Old Face"/>
            <w:sz w:val="20"/>
            <w:szCs w:val="20"/>
            <w:lang w:val="fr-FR"/>
          </w:rPr>
          <w:tab/>
        </w:r>
        <w:r>
          <w:fldChar w:fldCharType="begin"/>
        </w:r>
        <w:r>
          <w:instrText xml:space="preserve"> PAGE   \* MERGEFORMAT </w:instrText>
        </w:r>
        <w:r>
          <w:fldChar w:fldCharType="separate"/>
        </w:r>
        <w:r w:rsidR="007B22D4">
          <w:rPr>
            <w:noProof/>
          </w:rPr>
          <w:t>47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FBD" w:rsidRDefault="00C46FBD" w:rsidP="00ED503D">
      <w:pPr>
        <w:spacing w:after="0" w:line="240" w:lineRule="auto"/>
      </w:pPr>
      <w:r>
        <w:separator/>
      </w:r>
    </w:p>
  </w:footnote>
  <w:footnote w:type="continuationSeparator" w:id="0">
    <w:p w:rsidR="00C46FBD" w:rsidRDefault="00C46FBD" w:rsidP="00ED503D">
      <w:pPr>
        <w:spacing w:after="0" w:line="240" w:lineRule="auto"/>
      </w:pPr>
      <w:r>
        <w:continuationSeparator/>
      </w:r>
    </w:p>
  </w:footnote>
  <w:footnote w:id="1">
    <w:p w:rsidR="00B85460" w:rsidRPr="002645E8" w:rsidRDefault="00B85460" w:rsidP="003C3A45">
      <w:pPr>
        <w:pStyle w:val="FootnoteText"/>
        <w:jc w:val="both"/>
      </w:pPr>
      <w:r w:rsidRPr="002645E8">
        <w:rPr>
          <w:rStyle w:val="FootnoteReference"/>
        </w:rPr>
        <w:footnoteRef/>
      </w:r>
      <w:r w:rsidRPr="002645E8">
        <w:t xml:space="preserve"> A</w:t>
      </w:r>
      <w:r w:rsidRPr="002645E8">
        <w:rPr>
          <w:spacing w:val="-3"/>
        </w:rPr>
        <w:t>f</w:t>
      </w:r>
      <w:r w:rsidRPr="002645E8">
        <w:t>të</w:t>
      </w:r>
      <w:r w:rsidRPr="002645E8">
        <w:rPr>
          <w:spacing w:val="-1"/>
        </w:rPr>
        <w:t>s</w:t>
      </w:r>
      <w:r w:rsidRPr="002645E8">
        <w:t>i</w:t>
      </w:r>
      <w:r w:rsidRPr="002645E8">
        <w:rPr>
          <w:spacing w:val="1"/>
        </w:rPr>
        <w:t>t</w:t>
      </w:r>
      <w:r w:rsidRPr="002645E8">
        <w:t>ë</w:t>
      </w:r>
      <w:r w:rsidRPr="002645E8">
        <w:rPr>
          <w:spacing w:val="14"/>
        </w:rPr>
        <w:t xml:space="preserve"> </w:t>
      </w:r>
      <w:r w:rsidRPr="002645E8">
        <w:t>e</w:t>
      </w:r>
      <w:r w:rsidRPr="002645E8">
        <w:rPr>
          <w:spacing w:val="14"/>
        </w:rPr>
        <w:t xml:space="preserve"> </w:t>
      </w:r>
      <w:r w:rsidRPr="002645E8">
        <w:rPr>
          <w:spacing w:val="-1"/>
        </w:rPr>
        <w:t>k</w:t>
      </w:r>
      <w:r w:rsidRPr="002645E8">
        <w:rPr>
          <w:spacing w:val="3"/>
        </w:rPr>
        <w:t>o</w:t>
      </w:r>
      <w:r w:rsidRPr="002645E8">
        <w:rPr>
          <w:spacing w:val="-3"/>
        </w:rPr>
        <w:t>m</w:t>
      </w:r>
      <w:r w:rsidRPr="002645E8">
        <w:rPr>
          <w:spacing w:val="1"/>
        </w:rPr>
        <w:t>un</w:t>
      </w:r>
      <w:r w:rsidRPr="002645E8">
        <w:t>i</w:t>
      </w:r>
      <w:r w:rsidRPr="002645E8">
        <w:rPr>
          <w:spacing w:val="-1"/>
        </w:rPr>
        <w:t>k</w:t>
      </w:r>
      <w:r w:rsidRPr="002645E8">
        <w:t>i</w:t>
      </w:r>
      <w:r w:rsidRPr="002645E8">
        <w:rPr>
          <w:spacing w:val="-3"/>
        </w:rPr>
        <w:t>m</w:t>
      </w:r>
      <w:r w:rsidRPr="002645E8">
        <w:t>it</w:t>
      </w:r>
      <w:r w:rsidRPr="002645E8">
        <w:rPr>
          <w:spacing w:val="15"/>
        </w:rPr>
        <w:t xml:space="preserve"> </w:t>
      </w:r>
      <w:r w:rsidRPr="002645E8">
        <w:t>të</w:t>
      </w:r>
      <w:r w:rsidRPr="002645E8">
        <w:rPr>
          <w:spacing w:val="14"/>
        </w:rPr>
        <w:t xml:space="preserve"> </w:t>
      </w:r>
      <w:r w:rsidRPr="002645E8">
        <w:t>st</w:t>
      </w:r>
      <w:r w:rsidRPr="002645E8">
        <w:rPr>
          <w:spacing w:val="1"/>
        </w:rPr>
        <w:t>ud</w:t>
      </w:r>
      <w:r w:rsidRPr="002645E8">
        <w:rPr>
          <w:spacing w:val="-1"/>
        </w:rPr>
        <w:t>e</w:t>
      </w:r>
      <w:r w:rsidRPr="002645E8">
        <w:rPr>
          <w:spacing w:val="1"/>
        </w:rPr>
        <w:t>n</w:t>
      </w:r>
      <w:r w:rsidRPr="002645E8">
        <w:t>t</w:t>
      </w:r>
      <w:r w:rsidRPr="002645E8">
        <w:rPr>
          <w:spacing w:val="1"/>
        </w:rPr>
        <w:t>i</w:t>
      </w:r>
      <w:r w:rsidRPr="002645E8">
        <w:t>t</w:t>
      </w:r>
      <w:r w:rsidRPr="002645E8">
        <w:rPr>
          <w:spacing w:val="13"/>
        </w:rPr>
        <w:t xml:space="preserve"> </w:t>
      </w:r>
      <w:r w:rsidRPr="002645E8">
        <w:rPr>
          <w:spacing w:val="1"/>
        </w:rPr>
        <w:t>p</w:t>
      </w:r>
      <w:r w:rsidRPr="002645E8">
        <w:rPr>
          <w:spacing w:val="-1"/>
        </w:rPr>
        <w:t>ë</w:t>
      </w:r>
      <w:r w:rsidRPr="002645E8">
        <w:t>r</w:t>
      </w:r>
      <w:r w:rsidRPr="002645E8">
        <w:rPr>
          <w:spacing w:val="-2"/>
        </w:rPr>
        <w:t>f</w:t>
      </w:r>
      <w:r w:rsidRPr="002645E8">
        <w:t>s</w:t>
      </w:r>
      <w:r w:rsidRPr="002645E8">
        <w:rPr>
          <w:spacing w:val="1"/>
        </w:rPr>
        <w:t>h</w:t>
      </w:r>
      <w:r w:rsidRPr="002645E8">
        <w:t>i</w:t>
      </w:r>
      <w:r w:rsidRPr="002645E8">
        <w:rPr>
          <w:spacing w:val="1"/>
        </w:rPr>
        <w:t>jn</w:t>
      </w:r>
      <w:r w:rsidRPr="002645E8">
        <w:rPr>
          <w:spacing w:val="-1"/>
        </w:rPr>
        <w:t>ë</w:t>
      </w:r>
      <w:r w:rsidRPr="002645E8">
        <w:t>:</w:t>
      </w:r>
      <w:r w:rsidRPr="002645E8">
        <w:rPr>
          <w:spacing w:val="15"/>
        </w:rPr>
        <w:t xml:space="preserve"> </w:t>
      </w:r>
      <w:r w:rsidRPr="002645E8">
        <w:rPr>
          <w:spacing w:val="-1"/>
        </w:rPr>
        <w:t>k</w:t>
      </w:r>
      <w:r w:rsidRPr="002645E8">
        <w:rPr>
          <w:spacing w:val="1"/>
        </w:rPr>
        <w:t>o</w:t>
      </w:r>
      <w:r w:rsidRPr="002645E8">
        <w:rPr>
          <w:spacing w:val="-3"/>
        </w:rPr>
        <w:t>m</w:t>
      </w:r>
      <w:r w:rsidRPr="002645E8">
        <w:rPr>
          <w:spacing w:val="1"/>
        </w:rPr>
        <w:t>p</w:t>
      </w:r>
      <w:r w:rsidRPr="002645E8">
        <w:rPr>
          <w:spacing w:val="-1"/>
        </w:rPr>
        <w:t>e</w:t>
      </w:r>
      <w:r w:rsidRPr="002645E8">
        <w:t>te</w:t>
      </w:r>
      <w:r w:rsidRPr="002645E8">
        <w:rPr>
          <w:spacing w:val="1"/>
        </w:rPr>
        <w:t>n</w:t>
      </w:r>
      <w:r w:rsidRPr="002645E8">
        <w:rPr>
          <w:spacing w:val="-1"/>
        </w:rPr>
        <w:t>cë</w:t>
      </w:r>
      <w:r w:rsidRPr="002645E8">
        <w:t>n</w:t>
      </w:r>
      <w:r w:rsidRPr="002645E8">
        <w:rPr>
          <w:spacing w:val="16"/>
        </w:rPr>
        <w:t xml:space="preserve"> </w:t>
      </w:r>
      <w:r w:rsidRPr="002645E8">
        <w:rPr>
          <w:spacing w:val="1"/>
        </w:rPr>
        <w:t>p</w:t>
      </w:r>
      <w:r w:rsidRPr="002645E8">
        <w:rPr>
          <w:spacing w:val="-1"/>
        </w:rPr>
        <w:t>ë</w:t>
      </w:r>
      <w:r w:rsidRPr="002645E8">
        <w:t>r</w:t>
      </w:r>
      <w:r w:rsidRPr="002645E8">
        <w:rPr>
          <w:spacing w:val="15"/>
        </w:rPr>
        <w:t xml:space="preserve"> </w:t>
      </w:r>
      <w:r w:rsidRPr="002645E8">
        <w:t>të</w:t>
      </w:r>
      <w:r w:rsidRPr="002645E8">
        <w:rPr>
          <w:spacing w:val="19"/>
        </w:rPr>
        <w:t xml:space="preserve"> </w:t>
      </w:r>
      <w:r w:rsidRPr="002645E8">
        <w:rPr>
          <w:spacing w:val="1"/>
        </w:rPr>
        <w:t>p</w:t>
      </w:r>
      <w:r w:rsidRPr="002645E8">
        <w:rPr>
          <w:spacing w:val="-1"/>
        </w:rPr>
        <w:t>ë</w:t>
      </w:r>
      <w:r w:rsidRPr="002645E8">
        <w:t>rs</w:t>
      </w:r>
      <w:r w:rsidRPr="002645E8">
        <w:rPr>
          <w:spacing w:val="1"/>
        </w:rPr>
        <w:t>h</w:t>
      </w:r>
      <w:r w:rsidRPr="002645E8">
        <w:rPr>
          <w:spacing w:val="-1"/>
        </w:rPr>
        <w:t>k</w:t>
      </w:r>
      <w:r w:rsidRPr="002645E8">
        <w:t>r</w:t>
      </w:r>
      <w:r w:rsidRPr="002645E8">
        <w:rPr>
          <w:spacing w:val="1"/>
        </w:rPr>
        <w:t>u</w:t>
      </w:r>
      <w:r w:rsidRPr="002645E8">
        <w:rPr>
          <w:spacing w:val="-1"/>
        </w:rPr>
        <w:t>a</w:t>
      </w:r>
      <w:r w:rsidRPr="002645E8">
        <w:t>r</w:t>
      </w:r>
      <w:r w:rsidRPr="002645E8">
        <w:rPr>
          <w:spacing w:val="12"/>
        </w:rPr>
        <w:t xml:space="preserve"> </w:t>
      </w:r>
      <w:r w:rsidRPr="002645E8">
        <w:rPr>
          <w:spacing w:val="1"/>
        </w:rPr>
        <w:t>n</w:t>
      </w:r>
      <w:r w:rsidRPr="002645E8">
        <w:t>ë</w:t>
      </w:r>
      <w:r w:rsidRPr="002645E8">
        <w:rPr>
          <w:spacing w:val="14"/>
        </w:rPr>
        <w:t xml:space="preserve"> </w:t>
      </w:r>
      <w:r w:rsidRPr="002645E8">
        <w:rPr>
          <w:spacing w:val="-3"/>
        </w:rPr>
        <w:t>m</w:t>
      </w:r>
      <w:r w:rsidRPr="002645E8">
        <w:rPr>
          <w:spacing w:val="-1"/>
        </w:rPr>
        <w:t>ë</w:t>
      </w:r>
      <w:r w:rsidRPr="002645E8">
        <w:rPr>
          <w:spacing w:val="3"/>
        </w:rPr>
        <w:t>n</w:t>
      </w:r>
      <w:r w:rsidRPr="002645E8">
        <w:rPr>
          <w:spacing w:val="-4"/>
        </w:rPr>
        <w:t>y</w:t>
      </w:r>
      <w:r w:rsidRPr="002645E8">
        <w:t>rë</w:t>
      </w:r>
      <w:r w:rsidRPr="002645E8">
        <w:rPr>
          <w:spacing w:val="14"/>
        </w:rPr>
        <w:t xml:space="preserve"> </w:t>
      </w:r>
      <w:r w:rsidRPr="002645E8">
        <w:t>të</w:t>
      </w:r>
      <w:r w:rsidRPr="002645E8">
        <w:rPr>
          <w:spacing w:val="14"/>
        </w:rPr>
        <w:t xml:space="preserve"> </w:t>
      </w:r>
      <w:r w:rsidRPr="002645E8">
        <w:rPr>
          <w:spacing w:val="1"/>
        </w:rPr>
        <w:t>q</w:t>
      </w:r>
      <w:r w:rsidRPr="002645E8">
        <w:rPr>
          <w:spacing w:val="-1"/>
        </w:rPr>
        <w:t>a</w:t>
      </w:r>
      <w:r w:rsidRPr="002645E8">
        <w:t>rtë</w:t>
      </w:r>
      <w:r w:rsidRPr="002645E8">
        <w:rPr>
          <w:spacing w:val="14"/>
        </w:rPr>
        <w:t xml:space="preserve"> </w:t>
      </w:r>
      <w:r w:rsidRPr="002645E8">
        <w:t>r</w:t>
      </w:r>
      <w:r w:rsidRPr="002645E8">
        <w:rPr>
          <w:spacing w:val="-1"/>
        </w:rPr>
        <w:t>a</w:t>
      </w:r>
      <w:r w:rsidRPr="002645E8">
        <w:t>st</w:t>
      </w:r>
      <w:r w:rsidRPr="002645E8">
        <w:rPr>
          <w:spacing w:val="-1"/>
        </w:rPr>
        <w:t>e</w:t>
      </w:r>
      <w:r w:rsidRPr="002645E8">
        <w:t>t</w:t>
      </w:r>
      <w:r w:rsidRPr="002645E8">
        <w:rPr>
          <w:spacing w:val="15"/>
        </w:rPr>
        <w:t xml:space="preserve"> </w:t>
      </w:r>
      <w:r w:rsidRPr="002645E8">
        <w:rPr>
          <w:spacing w:val="-1"/>
        </w:rPr>
        <w:t>k</w:t>
      </w:r>
      <w:r w:rsidRPr="002645E8">
        <w:t>l</w:t>
      </w:r>
      <w:r w:rsidRPr="002645E8">
        <w:rPr>
          <w:spacing w:val="1"/>
        </w:rPr>
        <w:t>in</w:t>
      </w:r>
      <w:r w:rsidRPr="002645E8">
        <w:t>i</w:t>
      </w:r>
      <w:r w:rsidRPr="002645E8">
        <w:rPr>
          <w:spacing w:val="-1"/>
        </w:rPr>
        <w:t>ke</w:t>
      </w:r>
      <w:r w:rsidRPr="002645E8">
        <w:t>;</w:t>
      </w:r>
      <w:r w:rsidRPr="002645E8">
        <w:rPr>
          <w:spacing w:val="15"/>
        </w:rPr>
        <w:t xml:space="preserve"> </w:t>
      </w:r>
      <w:r w:rsidRPr="002645E8">
        <w:rPr>
          <w:spacing w:val="1"/>
        </w:rPr>
        <w:t>p</w:t>
      </w:r>
      <w:r w:rsidRPr="002645E8">
        <w:rPr>
          <w:spacing w:val="-1"/>
        </w:rPr>
        <w:t>ë</w:t>
      </w:r>
      <w:r w:rsidRPr="002645E8">
        <w:t>r</w:t>
      </w:r>
      <w:r w:rsidRPr="002645E8">
        <w:rPr>
          <w:spacing w:val="-1"/>
        </w:rPr>
        <w:t>d</w:t>
      </w:r>
      <w:r w:rsidRPr="002645E8">
        <w:rPr>
          <w:spacing w:val="1"/>
        </w:rPr>
        <w:t>o</w:t>
      </w:r>
      <w:r w:rsidRPr="002645E8">
        <w:t>ri</w:t>
      </w:r>
      <w:r w:rsidRPr="002645E8">
        <w:rPr>
          <w:spacing w:val="-3"/>
        </w:rPr>
        <w:t>m</w:t>
      </w:r>
      <w:r w:rsidRPr="002645E8">
        <w:t>in</w:t>
      </w:r>
      <w:r w:rsidRPr="002645E8">
        <w:rPr>
          <w:spacing w:val="16"/>
        </w:rPr>
        <w:t xml:space="preserve"> </w:t>
      </w:r>
      <w:r w:rsidRPr="002645E8">
        <w:t xml:space="preserve">e </w:t>
      </w:r>
      <w:r w:rsidRPr="002645E8">
        <w:rPr>
          <w:spacing w:val="-1"/>
        </w:rPr>
        <w:t>a</w:t>
      </w:r>
      <w:r w:rsidRPr="002645E8">
        <w:t>r</w:t>
      </w:r>
      <w:r w:rsidRPr="002645E8">
        <w:rPr>
          <w:spacing w:val="-1"/>
        </w:rPr>
        <w:t>g</w:t>
      </w:r>
      <w:r w:rsidRPr="002645E8">
        <w:rPr>
          <w:spacing w:val="3"/>
        </w:rPr>
        <w:t>u</w:t>
      </w:r>
      <w:r w:rsidRPr="002645E8">
        <w:rPr>
          <w:spacing w:val="-3"/>
        </w:rPr>
        <w:t>m</w:t>
      </w:r>
      <w:r w:rsidRPr="002645E8">
        <w:rPr>
          <w:spacing w:val="-1"/>
        </w:rPr>
        <w:t>e</w:t>
      </w:r>
      <w:r w:rsidRPr="002645E8">
        <w:rPr>
          <w:spacing w:val="1"/>
        </w:rPr>
        <w:t>n</w:t>
      </w:r>
      <w:r w:rsidRPr="002645E8">
        <w:t>te</w:t>
      </w:r>
      <w:r w:rsidRPr="002645E8">
        <w:rPr>
          <w:spacing w:val="-2"/>
        </w:rPr>
        <w:t>v</w:t>
      </w:r>
      <w:r w:rsidRPr="002645E8">
        <w:t>e</w:t>
      </w:r>
      <w:r w:rsidRPr="002645E8">
        <w:rPr>
          <w:spacing w:val="1"/>
        </w:rPr>
        <w:t xml:space="preserve"> b</w:t>
      </w:r>
      <w:r w:rsidRPr="002645E8">
        <w:t>i</w:t>
      </w:r>
      <w:r w:rsidRPr="002645E8">
        <w:rPr>
          <w:spacing w:val="1"/>
        </w:rPr>
        <w:t>nd</w:t>
      </w:r>
      <w:r w:rsidRPr="002645E8">
        <w:rPr>
          <w:spacing w:val="-1"/>
        </w:rPr>
        <w:t>ë</w:t>
      </w:r>
      <w:r w:rsidRPr="002645E8">
        <w:t>se</w:t>
      </w:r>
      <w:r w:rsidRPr="002645E8">
        <w:rPr>
          <w:spacing w:val="1"/>
        </w:rPr>
        <w:t xml:space="preserve"> dh</w:t>
      </w:r>
      <w:r w:rsidRPr="002645E8">
        <w:t>e</w:t>
      </w:r>
      <w:r w:rsidRPr="002645E8">
        <w:rPr>
          <w:spacing w:val="2"/>
        </w:rPr>
        <w:t xml:space="preserve"> </w:t>
      </w:r>
      <w:r w:rsidRPr="002645E8">
        <w:rPr>
          <w:spacing w:val="-1"/>
        </w:rPr>
        <w:t>a</w:t>
      </w:r>
      <w:r w:rsidRPr="002645E8">
        <w:t>rt</w:t>
      </w:r>
      <w:r w:rsidRPr="002645E8">
        <w:rPr>
          <w:spacing w:val="1"/>
        </w:rPr>
        <w:t>i</w:t>
      </w:r>
      <w:r w:rsidRPr="002645E8">
        <w:rPr>
          <w:spacing w:val="-1"/>
        </w:rPr>
        <w:t>k</w:t>
      </w:r>
      <w:r w:rsidRPr="002645E8">
        <w:rPr>
          <w:spacing w:val="1"/>
        </w:rPr>
        <w:t>u</w:t>
      </w:r>
      <w:r w:rsidRPr="002645E8">
        <w:rPr>
          <w:spacing w:val="-2"/>
        </w:rPr>
        <w:t>li</w:t>
      </w:r>
      <w:r w:rsidRPr="002645E8">
        <w:rPr>
          <w:spacing w:val="-3"/>
        </w:rPr>
        <w:t>m</w:t>
      </w:r>
      <w:r w:rsidRPr="002645E8">
        <w:t>in</w:t>
      </w:r>
      <w:r w:rsidRPr="002645E8">
        <w:rPr>
          <w:spacing w:val="3"/>
        </w:rPr>
        <w:t xml:space="preserve"> </w:t>
      </w:r>
      <w:r w:rsidRPr="002645E8">
        <w:t>e</w:t>
      </w:r>
      <w:r w:rsidRPr="002645E8">
        <w:rPr>
          <w:spacing w:val="1"/>
        </w:rPr>
        <w:t xml:space="preserve"> q</w:t>
      </w:r>
      <w:r w:rsidRPr="002645E8">
        <w:rPr>
          <w:spacing w:val="-1"/>
        </w:rPr>
        <w:t>a</w:t>
      </w:r>
      <w:r w:rsidRPr="002645E8">
        <w:t>rtë</w:t>
      </w:r>
      <w:r w:rsidRPr="002645E8">
        <w:rPr>
          <w:spacing w:val="2"/>
        </w:rPr>
        <w:t xml:space="preserve"> </w:t>
      </w:r>
      <w:r w:rsidRPr="002645E8">
        <w:t>të</w:t>
      </w:r>
      <w:r w:rsidRPr="002645E8">
        <w:rPr>
          <w:spacing w:val="2"/>
        </w:rPr>
        <w:t xml:space="preserve"> </w:t>
      </w:r>
      <w:r w:rsidRPr="002645E8">
        <w:t>i</w:t>
      </w:r>
      <w:r w:rsidRPr="002645E8">
        <w:rPr>
          <w:spacing w:val="1"/>
        </w:rPr>
        <w:t>d</w:t>
      </w:r>
      <w:r w:rsidRPr="002645E8">
        <w:rPr>
          <w:spacing w:val="-1"/>
        </w:rPr>
        <w:t>ev</w:t>
      </w:r>
      <w:r w:rsidRPr="002645E8">
        <w:t>e</w:t>
      </w:r>
      <w:r w:rsidRPr="002645E8">
        <w:rPr>
          <w:spacing w:val="1"/>
        </w:rPr>
        <w:t xml:space="preserve"> p</w:t>
      </w:r>
      <w:r w:rsidRPr="002645E8">
        <w:rPr>
          <w:spacing w:val="-1"/>
        </w:rPr>
        <w:t>a</w:t>
      </w:r>
      <w:r w:rsidRPr="002645E8">
        <w:t>ra</w:t>
      </w:r>
      <w:r w:rsidRPr="002645E8">
        <w:rPr>
          <w:spacing w:val="1"/>
        </w:rPr>
        <w:t xml:space="preserve"> p</w:t>
      </w:r>
      <w:r w:rsidRPr="002645E8">
        <w:rPr>
          <w:spacing w:val="-1"/>
        </w:rPr>
        <w:t>ac</w:t>
      </w:r>
      <w:r w:rsidRPr="002645E8">
        <w:t>ie</w:t>
      </w:r>
      <w:r w:rsidRPr="002645E8">
        <w:rPr>
          <w:spacing w:val="1"/>
        </w:rPr>
        <w:t>n</w:t>
      </w:r>
      <w:r w:rsidRPr="002645E8">
        <w:t>t</w:t>
      </w:r>
      <w:r w:rsidRPr="002645E8">
        <w:rPr>
          <w:spacing w:val="1"/>
        </w:rPr>
        <w:t>i</w:t>
      </w:r>
      <w:r w:rsidRPr="002645E8">
        <w:t xml:space="preserve">t </w:t>
      </w:r>
      <w:r w:rsidRPr="002645E8">
        <w:rPr>
          <w:spacing w:val="1"/>
        </w:rPr>
        <w:t>dh</w:t>
      </w:r>
      <w:r w:rsidRPr="002645E8">
        <w:t>e</w:t>
      </w:r>
      <w:r w:rsidRPr="002645E8">
        <w:rPr>
          <w:spacing w:val="1"/>
        </w:rPr>
        <w:t xml:space="preserve"> </w:t>
      </w:r>
      <w:r w:rsidRPr="002645E8">
        <w:rPr>
          <w:spacing w:val="-1"/>
        </w:rPr>
        <w:t>ko</w:t>
      </w:r>
      <w:r w:rsidRPr="002645E8">
        <w:t>le</w:t>
      </w:r>
      <w:r w:rsidRPr="002645E8">
        <w:rPr>
          <w:spacing w:val="-2"/>
        </w:rPr>
        <w:t>g</w:t>
      </w:r>
      <w:r w:rsidRPr="002645E8">
        <w:rPr>
          <w:spacing w:val="-1"/>
        </w:rPr>
        <w:t>eve</w:t>
      </w:r>
      <w:r w:rsidRPr="002645E8">
        <w:t>;</w:t>
      </w:r>
      <w:r w:rsidRPr="002645E8">
        <w:rPr>
          <w:spacing w:val="2"/>
        </w:rPr>
        <w:t xml:space="preserve"> </w:t>
      </w:r>
      <w:r w:rsidRPr="002645E8">
        <w:rPr>
          <w:spacing w:val="-1"/>
        </w:rPr>
        <w:t>z</w:t>
      </w:r>
      <w:r w:rsidRPr="002645E8">
        <w:rPr>
          <w:spacing w:val="1"/>
        </w:rPr>
        <w:t>o</w:t>
      </w:r>
      <w:r w:rsidRPr="002645E8">
        <w:t>të</w:t>
      </w:r>
      <w:r w:rsidRPr="002645E8">
        <w:rPr>
          <w:spacing w:val="-1"/>
        </w:rPr>
        <w:t>s</w:t>
      </w:r>
      <w:r w:rsidRPr="002645E8">
        <w:t>i</w:t>
      </w:r>
      <w:r w:rsidRPr="002645E8">
        <w:rPr>
          <w:spacing w:val="1"/>
        </w:rPr>
        <w:t>n</w:t>
      </w:r>
      <w:r w:rsidRPr="002645E8">
        <w:t>ë</w:t>
      </w:r>
      <w:r w:rsidRPr="002645E8">
        <w:rPr>
          <w:spacing w:val="1"/>
        </w:rPr>
        <w:t xml:space="preserve"> p</w:t>
      </w:r>
      <w:r w:rsidRPr="002645E8">
        <w:rPr>
          <w:spacing w:val="-1"/>
        </w:rPr>
        <w:t>ë</w:t>
      </w:r>
      <w:r w:rsidRPr="002645E8">
        <w:t>r</w:t>
      </w:r>
      <w:r w:rsidRPr="002645E8">
        <w:rPr>
          <w:spacing w:val="2"/>
        </w:rPr>
        <w:t xml:space="preserve"> </w:t>
      </w:r>
      <w:r w:rsidRPr="002645E8">
        <w:t>të</w:t>
      </w:r>
      <w:r w:rsidRPr="002645E8">
        <w:rPr>
          <w:spacing w:val="2"/>
        </w:rPr>
        <w:t xml:space="preserve"> </w:t>
      </w:r>
      <w:r w:rsidRPr="002645E8">
        <w:rPr>
          <w:spacing w:val="1"/>
        </w:rPr>
        <w:t>d</w:t>
      </w:r>
      <w:r w:rsidRPr="002645E8">
        <w:rPr>
          <w:spacing w:val="-1"/>
        </w:rPr>
        <w:t>eba</w:t>
      </w:r>
      <w:r w:rsidRPr="002645E8">
        <w:t>t</w:t>
      </w:r>
      <w:r w:rsidRPr="002645E8">
        <w:rPr>
          <w:spacing w:val="1"/>
        </w:rPr>
        <w:t>u</w:t>
      </w:r>
      <w:r w:rsidRPr="002645E8">
        <w:rPr>
          <w:spacing w:val="-1"/>
        </w:rPr>
        <w:t>a</w:t>
      </w:r>
      <w:r w:rsidRPr="002645E8">
        <w:t>r</w:t>
      </w:r>
      <w:r w:rsidRPr="002645E8">
        <w:rPr>
          <w:spacing w:val="2"/>
        </w:rPr>
        <w:t xml:space="preserve"> </w:t>
      </w:r>
      <w:r w:rsidRPr="002645E8">
        <w:rPr>
          <w:spacing w:val="1"/>
        </w:rPr>
        <w:t>dh</w:t>
      </w:r>
      <w:r w:rsidRPr="002645E8">
        <w:t>e</w:t>
      </w:r>
      <w:r w:rsidRPr="002645E8">
        <w:rPr>
          <w:spacing w:val="1"/>
        </w:rPr>
        <w:t xml:space="preserve"> </w:t>
      </w:r>
      <w:r w:rsidRPr="002645E8">
        <w:rPr>
          <w:spacing w:val="-3"/>
        </w:rPr>
        <w:t>m</w:t>
      </w:r>
      <w:r w:rsidRPr="002645E8">
        <w:rPr>
          <w:spacing w:val="1"/>
        </w:rPr>
        <w:t>b</w:t>
      </w:r>
      <w:r w:rsidRPr="002645E8">
        <w:rPr>
          <w:spacing w:val="-1"/>
        </w:rPr>
        <w:t>ë</w:t>
      </w:r>
      <w:r w:rsidRPr="002645E8">
        <w:t>s</w:t>
      </w:r>
      <w:r w:rsidRPr="002645E8">
        <w:rPr>
          <w:spacing w:val="1"/>
        </w:rPr>
        <w:t>h</w:t>
      </w:r>
      <w:r w:rsidRPr="002645E8">
        <w:t>tet</w:t>
      </w:r>
      <w:r w:rsidRPr="002645E8">
        <w:rPr>
          <w:spacing w:val="1"/>
        </w:rPr>
        <w:t>u</w:t>
      </w:r>
      <w:r w:rsidRPr="002645E8">
        <w:t>r të</w:t>
      </w:r>
      <w:r w:rsidRPr="002645E8">
        <w:rPr>
          <w:spacing w:val="2"/>
        </w:rPr>
        <w:t xml:space="preserve"> </w:t>
      </w:r>
      <w:r w:rsidRPr="002645E8">
        <w:t>t</w:t>
      </w:r>
      <w:r w:rsidRPr="002645E8">
        <w:rPr>
          <w:spacing w:val="1"/>
        </w:rPr>
        <w:t>j</w:t>
      </w:r>
      <w:r w:rsidRPr="002645E8">
        <w:rPr>
          <w:spacing w:val="-1"/>
        </w:rPr>
        <w:t>e</w:t>
      </w:r>
      <w:r w:rsidRPr="002645E8">
        <w:t>r</w:t>
      </w:r>
      <w:r w:rsidRPr="002645E8">
        <w:rPr>
          <w:spacing w:val="-1"/>
        </w:rPr>
        <w:t>ë</w:t>
      </w:r>
      <w:r w:rsidRPr="002645E8">
        <w:t xml:space="preserve">t, të </w:t>
      </w:r>
      <w:r w:rsidRPr="002645E8">
        <w:rPr>
          <w:spacing w:val="1"/>
        </w:rPr>
        <w:t>p</w:t>
      </w:r>
      <w:r w:rsidRPr="002645E8">
        <w:rPr>
          <w:spacing w:val="-1"/>
        </w:rPr>
        <w:t>ë</w:t>
      </w:r>
      <w:r w:rsidRPr="002645E8">
        <w:t>r</w:t>
      </w:r>
      <w:r w:rsidRPr="002645E8">
        <w:rPr>
          <w:spacing w:val="-2"/>
        </w:rPr>
        <w:t>f</w:t>
      </w:r>
      <w:r w:rsidRPr="002645E8">
        <w:t>s</w:t>
      </w:r>
      <w:r w:rsidRPr="002645E8">
        <w:rPr>
          <w:spacing w:val="1"/>
        </w:rPr>
        <w:t>h</w:t>
      </w:r>
      <w:r w:rsidRPr="002645E8">
        <w:t>irë,</w:t>
      </w:r>
      <w:r w:rsidRPr="002645E8">
        <w:rPr>
          <w:spacing w:val="1"/>
        </w:rPr>
        <w:t xml:space="preserve"> n</w:t>
      </w:r>
      <w:r w:rsidRPr="002645E8">
        <w:t xml:space="preserve">ë </w:t>
      </w:r>
      <w:r w:rsidRPr="002645E8">
        <w:rPr>
          <w:spacing w:val="-1"/>
        </w:rPr>
        <w:t>k</w:t>
      </w:r>
      <w:r w:rsidRPr="002645E8">
        <w:t>l</w:t>
      </w:r>
      <w:r w:rsidRPr="002645E8">
        <w:rPr>
          <w:spacing w:val="1"/>
        </w:rPr>
        <w:t>in</w:t>
      </w:r>
      <w:r w:rsidRPr="002645E8">
        <w:t>i</w:t>
      </w:r>
      <w:r w:rsidRPr="002645E8">
        <w:rPr>
          <w:spacing w:val="-1"/>
        </w:rPr>
        <w:t>kë</w:t>
      </w:r>
      <w:r w:rsidRPr="002645E8">
        <w:t>,</w:t>
      </w:r>
      <w:r w:rsidRPr="002645E8">
        <w:rPr>
          <w:spacing w:val="1"/>
        </w:rPr>
        <w:t xml:space="preserve"> </w:t>
      </w:r>
      <w:r w:rsidRPr="002645E8">
        <w:rPr>
          <w:spacing w:val="-3"/>
        </w:rPr>
        <w:t>m</w:t>
      </w:r>
      <w:r w:rsidRPr="002645E8">
        <w:rPr>
          <w:spacing w:val="1"/>
        </w:rPr>
        <w:t>b</w:t>
      </w:r>
      <w:r w:rsidRPr="002645E8">
        <w:t>i</w:t>
      </w:r>
      <w:r w:rsidRPr="002645E8">
        <w:rPr>
          <w:spacing w:val="-1"/>
        </w:rPr>
        <w:t>k</w:t>
      </w:r>
      <w:r w:rsidRPr="002645E8">
        <w:rPr>
          <w:spacing w:val="1"/>
        </w:rPr>
        <w:t>q</w:t>
      </w:r>
      <w:r w:rsidRPr="002645E8">
        <w:rPr>
          <w:spacing w:val="-4"/>
        </w:rPr>
        <w:t>y</w:t>
      </w:r>
      <w:r w:rsidRPr="002645E8">
        <w:t>r</w:t>
      </w:r>
      <w:r w:rsidRPr="002645E8">
        <w:rPr>
          <w:spacing w:val="3"/>
        </w:rPr>
        <w:t>j</w:t>
      </w:r>
      <w:r w:rsidRPr="002645E8">
        <w:t>e</w:t>
      </w:r>
      <w:r w:rsidRPr="002645E8">
        <w:rPr>
          <w:spacing w:val="2"/>
        </w:rPr>
        <w:t xml:space="preserve"> </w:t>
      </w:r>
      <w:r w:rsidRPr="002645E8">
        <w:rPr>
          <w:spacing w:val="1"/>
        </w:rPr>
        <w:t>o</w:t>
      </w:r>
      <w:r w:rsidRPr="002645E8">
        <w:t>se</w:t>
      </w:r>
      <w:r w:rsidRPr="002645E8">
        <w:rPr>
          <w:spacing w:val="-1"/>
        </w:rPr>
        <w:t xml:space="preserve"> </w:t>
      </w:r>
      <w:r w:rsidRPr="002645E8">
        <w:rPr>
          <w:spacing w:val="1"/>
        </w:rPr>
        <w:t>d</w:t>
      </w:r>
      <w:r w:rsidRPr="002645E8">
        <w:rPr>
          <w:spacing w:val="-1"/>
        </w:rPr>
        <w:t>e</w:t>
      </w:r>
      <w:r w:rsidRPr="002645E8">
        <w:rPr>
          <w:spacing w:val="-3"/>
        </w:rPr>
        <w:t>m</w:t>
      </w:r>
      <w:r w:rsidRPr="002645E8">
        <w:rPr>
          <w:spacing w:val="1"/>
        </w:rPr>
        <w:t>on</w:t>
      </w:r>
      <w:r w:rsidRPr="002645E8">
        <w:t>stri</w:t>
      </w:r>
      <w:r w:rsidRPr="002645E8">
        <w:rPr>
          <w:spacing w:val="-3"/>
        </w:rPr>
        <w:t>m</w:t>
      </w:r>
      <w:r w:rsidRPr="002645E8">
        <w:rPr>
          <w:spacing w:val="-1"/>
        </w:rPr>
        <w:t>e</w:t>
      </w:r>
      <w:r w:rsidRPr="002645E8">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4FC9"/>
    <w:multiLevelType w:val="hybridMultilevel"/>
    <w:tmpl w:val="7EC25F92"/>
    <w:lvl w:ilvl="0" w:tplc="0338C4B4">
      <w:start w:val="1"/>
      <w:numFmt w:val="upperRoman"/>
      <w:lvlText w:val="%1."/>
      <w:lvlJc w:val="left"/>
      <w:pPr>
        <w:ind w:left="1350" w:hanging="72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67401"/>
    <w:multiLevelType w:val="hybridMultilevel"/>
    <w:tmpl w:val="5316E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C6933"/>
    <w:multiLevelType w:val="hybridMultilevel"/>
    <w:tmpl w:val="58CE3F70"/>
    <w:lvl w:ilvl="0" w:tplc="5D68E590">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B7B122D"/>
    <w:multiLevelType w:val="hybridMultilevel"/>
    <w:tmpl w:val="F44A61B2"/>
    <w:lvl w:ilvl="0" w:tplc="C1A0CB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4E22C7"/>
    <w:multiLevelType w:val="hybridMultilevel"/>
    <w:tmpl w:val="48901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E86258"/>
    <w:multiLevelType w:val="hybridMultilevel"/>
    <w:tmpl w:val="38BCFD94"/>
    <w:lvl w:ilvl="0" w:tplc="66E85B54">
      <w:start w:val="1"/>
      <w:numFmt w:val="upperRoman"/>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6620D0"/>
    <w:multiLevelType w:val="hybridMultilevel"/>
    <w:tmpl w:val="A7EEC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032701"/>
    <w:multiLevelType w:val="hybridMultilevel"/>
    <w:tmpl w:val="BFFA7F74"/>
    <w:lvl w:ilvl="0" w:tplc="0338C4B4">
      <w:start w:val="1"/>
      <w:numFmt w:val="upperRoman"/>
      <w:lvlText w:val="%1."/>
      <w:lvlJc w:val="left"/>
      <w:pPr>
        <w:ind w:left="1080" w:hanging="72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C6AFC"/>
    <w:multiLevelType w:val="hybridMultilevel"/>
    <w:tmpl w:val="02220F16"/>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9" w15:restartNumberingAfterBreak="0">
    <w:nsid w:val="370749AA"/>
    <w:multiLevelType w:val="hybridMultilevel"/>
    <w:tmpl w:val="21701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F2476B"/>
    <w:multiLevelType w:val="hybridMultilevel"/>
    <w:tmpl w:val="7EC25F92"/>
    <w:lvl w:ilvl="0" w:tplc="0338C4B4">
      <w:start w:val="1"/>
      <w:numFmt w:val="upperRoman"/>
      <w:lvlText w:val="%1."/>
      <w:lvlJc w:val="left"/>
      <w:pPr>
        <w:ind w:left="1350" w:hanging="72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94121E"/>
    <w:multiLevelType w:val="hybridMultilevel"/>
    <w:tmpl w:val="CB74D86A"/>
    <w:lvl w:ilvl="0" w:tplc="0809000F">
      <w:start w:val="1"/>
      <w:numFmt w:val="decimal"/>
      <w:lvlText w:val="%1."/>
      <w:lvlJc w:val="left"/>
      <w:pPr>
        <w:ind w:left="720" w:hanging="360"/>
      </w:pPr>
    </w:lvl>
    <w:lvl w:ilvl="1" w:tplc="0C22BBE8">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BF085C"/>
    <w:multiLevelType w:val="hybridMultilevel"/>
    <w:tmpl w:val="DCA2BF74"/>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3" w15:restartNumberingAfterBreak="0">
    <w:nsid w:val="5A913BA6"/>
    <w:multiLevelType w:val="hybridMultilevel"/>
    <w:tmpl w:val="69EE33F6"/>
    <w:lvl w:ilvl="0" w:tplc="93C2165E">
      <w:start w:val="5"/>
      <w:numFmt w:val="lowerRoman"/>
      <w:lvlText w:val="%1."/>
      <w:lvlJc w:val="left"/>
      <w:pPr>
        <w:ind w:left="810" w:hanging="720"/>
      </w:pPr>
      <w:rPr>
        <w:rFonts w:eastAsia="Times New Roman" w:hint="default"/>
        <w:sz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5BA75323"/>
    <w:multiLevelType w:val="hybridMultilevel"/>
    <w:tmpl w:val="5C3CCF74"/>
    <w:lvl w:ilvl="0" w:tplc="219A796C">
      <w:start w:val="1"/>
      <w:numFmt w:val="bullet"/>
      <w:lvlText w:val=""/>
      <w:lvlJc w:val="left"/>
      <w:pPr>
        <w:tabs>
          <w:tab w:val="num" w:pos="720"/>
        </w:tabs>
        <w:ind w:left="720" w:hanging="360"/>
      </w:pPr>
      <w:rPr>
        <w:rFonts w:ascii="Symbol" w:hAnsi="Symbol" w:hint="default"/>
        <w:sz w:val="16"/>
        <w:szCs w:val="16"/>
      </w:rPr>
    </w:lvl>
    <w:lvl w:ilvl="1" w:tplc="11380CE2">
      <w:start w:val="1"/>
      <w:numFmt w:val="bullet"/>
      <w:lvlText w:val=""/>
      <w:lvlJc w:val="left"/>
      <w:pPr>
        <w:tabs>
          <w:tab w:val="num" w:pos="1440"/>
        </w:tabs>
        <w:ind w:left="1440" w:hanging="360"/>
      </w:pPr>
      <w:rPr>
        <w:rFonts w:ascii="Wingdings" w:hAnsi="Wingdings"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107305"/>
    <w:multiLevelType w:val="hybridMultilevel"/>
    <w:tmpl w:val="B75CC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21181A"/>
    <w:multiLevelType w:val="hybridMultilevel"/>
    <w:tmpl w:val="ABF67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9F1D30"/>
    <w:multiLevelType w:val="hybridMultilevel"/>
    <w:tmpl w:val="BFCA3A5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78272F6C"/>
    <w:multiLevelType w:val="hybridMultilevel"/>
    <w:tmpl w:val="36B07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7B6BAB"/>
    <w:multiLevelType w:val="hybridMultilevel"/>
    <w:tmpl w:val="9FF85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7"/>
  </w:num>
  <w:num w:numId="4">
    <w:abstractNumId w:val="5"/>
  </w:num>
  <w:num w:numId="5">
    <w:abstractNumId w:val="9"/>
  </w:num>
  <w:num w:numId="6">
    <w:abstractNumId w:val="0"/>
  </w:num>
  <w:num w:numId="7">
    <w:abstractNumId w:val="16"/>
  </w:num>
  <w:num w:numId="8">
    <w:abstractNumId w:val="18"/>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4"/>
  </w:num>
  <w:num w:numId="12">
    <w:abstractNumId w:val="15"/>
  </w:num>
  <w:num w:numId="13">
    <w:abstractNumId w:val="6"/>
  </w:num>
  <w:num w:numId="14">
    <w:abstractNumId w:val="8"/>
  </w:num>
  <w:num w:numId="15">
    <w:abstractNumId w:val="12"/>
  </w:num>
  <w:num w:numId="16">
    <w:abstractNumId w:val="19"/>
  </w:num>
  <w:num w:numId="17">
    <w:abstractNumId w:val="1"/>
  </w:num>
  <w:num w:numId="18">
    <w:abstractNumId w:val="17"/>
  </w:num>
  <w:num w:numId="19">
    <w:abstractNumId w:val="11"/>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804"/>
    <w:rsid w:val="000260C2"/>
    <w:rsid w:val="000361D2"/>
    <w:rsid w:val="00036E0D"/>
    <w:rsid w:val="00037AE6"/>
    <w:rsid w:val="00063277"/>
    <w:rsid w:val="000829C4"/>
    <w:rsid w:val="0009010A"/>
    <w:rsid w:val="000927D7"/>
    <w:rsid w:val="000A29B8"/>
    <w:rsid w:val="000A6727"/>
    <w:rsid w:val="000C68BB"/>
    <w:rsid w:val="001173E2"/>
    <w:rsid w:val="00132252"/>
    <w:rsid w:val="0013376E"/>
    <w:rsid w:val="00136003"/>
    <w:rsid w:val="00146A41"/>
    <w:rsid w:val="001570C3"/>
    <w:rsid w:val="001641EA"/>
    <w:rsid w:val="00165982"/>
    <w:rsid w:val="0019184F"/>
    <w:rsid w:val="00197492"/>
    <w:rsid w:val="001A733B"/>
    <w:rsid w:val="001B349B"/>
    <w:rsid w:val="001C0E87"/>
    <w:rsid w:val="00207ED0"/>
    <w:rsid w:val="00211F10"/>
    <w:rsid w:val="00214550"/>
    <w:rsid w:val="00232138"/>
    <w:rsid w:val="00237D71"/>
    <w:rsid w:val="00243BA4"/>
    <w:rsid w:val="0025138E"/>
    <w:rsid w:val="00280621"/>
    <w:rsid w:val="00285681"/>
    <w:rsid w:val="002A5010"/>
    <w:rsid w:val="002A76BD"/>
    <w:rsid w:val="002C0F5B"/>
    <w:rsid w:val="002C6BC8"/>
    <w:rsid w:val="002D1E7C"/>
    <w:rsid w:val="002D4635"/>
    <w:rsid w:val="002D7133"/>
    <w:rsid w:val="002E4D3E"/>
    <w:rsid w:val="00301624"/>
    <w:rsid w:val="00337142"/>
    <w:rsid w:val="00342D97"/>
    <w:rsid w:val="00347F7A"/>
    <w:rsid w:val="003847F8"/>
    <w:rsid w:val="003A469E"/>
    <w:rsid w:val="003C3A45"/>
    <w:rsid w:val="003C5935"/>
    <w:rsid w:val="003D2214"/>
    <w:rsid w:val="003E0356"/>
    <w:rsid w:val="003F21F8"/>
    <w:rsid w:val="003F3820"/>
    <w:rsid w:val="003F5A0C"/>
    <w:rsid w:val="003F61A0"/>
    <w:rsid w:val="0040310B"/>
    <w:rsid w:val="004307BA"/>
    <w:rsid w:val="0043272C"/>
    <w:rsid w:val="00435270"/>
    <w:rsid w:val="00447265"/>
    <w:rsid w:val="00460FC2"/>
    <w:rsid w:val="004724E8"/>
    <w:rsid w:val="00481C05"/>
    <w:rsid w:val="00485647"/>
    <w:rsid w:val="00496E3E"/>
    <w:rsid w:val="004A435D"/>
    <w:rsid w:val="004C230A"/>
    <w:rsid w:val="004C33BA"/>
    <w:rsid w:val="004E0BA5"/>
    <w:rsid w:val="004E47AC"/>
    <w:rsid w:val="00500475"/>
    <w:rsid w:val="00502F73"/>
    <w:rsid w:val="00504DE4"/>
    <w:rsid w:val="005218C5"/>
    <w:rsid w:val="005269F1"/>
    <w:rsid w:val="005276D3"/>
    <w:rsid w:val="00532419"/>
    <w:rsid w:val="00542147"/>
    <w:rsid w:val="00543B7A"/>
    <w:rsid w:val="005609D9"/>
    <w:rsid w:val="005719D8"/>
    <w:rsid w:val="00582C95"/>
    <w:rsid w:val="00587D8A"/>
    <w:rsid w:val="0059370E"/>
    <w:rsid w:val="00596BE2"/>
    <w:rsid w:val="005A30E1"/>
    <w:rsid w:val="005A6C74"/>
    <w:rsid w:val="005C2B1B"/>
    <w:rsid w:val="005E6F8E"/>
    <w:rsid w:val="005E71C0"/>
    <w:rsid w:val="006134A2"/>
    <w:rsid w:val="006168D5"/>
    <w:rsid w:val="006210CF"/>
    <w:rsid w:val="006222BE"/>
    <w:rsid w:val="00632F97"/>
    <w:rsid w:val="00651B46"/>
    <w:rsid w:val="006537E0"/>
    <w:rsid w:val="006565A7"/>
    <w:rsid w:val="0068301E"/>
    <w:rsid w:val="00683872"/>
    <w:rsid w:val="006906C1"/>
    <w:rsid w:val="006A4485"/>
    <w:rsid w:val="006A631F"/>
    <w:rsid w:val="006B22A3"/>
    <w:rsid w:val="006B72EA"/>
    <w:rsid w:val="006C53CF"/>
    <w:rsid w:val="006E0909"/>
    <w:rsid w:val="006F17A9"/>
    <w:rsid w:val="00700CA3"/>
    <w:rsid w:val="007066FC"/>
    <w:rsid w:val="00717ED9"/>
    <w:rsid w:val="0074200D"/>
    <w:rsid w:val="0074441C"/>
    <w:rsid w:val="00750732"/>
    <w:rsid w:val="007510AE"/>
    <w:rsid w:val="00752BB5"/>
    <w:rsid w:val="00753369"/>
    <w:rsid w:val="00760F22"/>
    <w:rsid w:val="00786FF7"/>
    <w:rsid w:val="00790326"/>
    <w:rsid w:val="007929C8"/>
    <w:rsid w:val="007B22D4"/>
    <w:rsid w:val="007B2DFC"/>
    <w:rsid w:val="007B7AF7"/>
    <w:rsid w:val="007F3BC7"/>
    <w:rsid w:val="007F3D18"/>
    <w:rsid w:val="007F66CB"/>
    <w:rsid w:val="00803A59"/>
    <w:rsid w:val="00803C23"/>
    <w:rsid w:val="008239D2"/>
    <w:rsid w:val="00826B13"/>
    <w:rsid w:val="00861143"/>
    <w:rsid w:val="00883B80"/>
    <w:rsid w:val="008F0079"/>
    <w:rsid w:val="009422E2"/>
    <w:rsid w:val="0094333D"/>
    <w:rsid w:val="00952468"/>
    <w:rsid w:val="00966AB1"/>
    <w:rsid w:val="00976033"/>
    <w:rsid w:val="00995714"/>
    <w:rsid w:val="00997BE0"/>
    <w:rsid w:val="009B040F"/>
    <w:rsid w:val="009B6E5B"/>
    <w:rsid w:val="009C4804"/>
    <w:rsid w:val="009D5FF6"/>
    <w:rsid w:val="009D6985"/>
    <w:rsid w:val="009E4EA0"/>
    <w:rsid w:val="009F5532"/>
    <w:rsid w:val="00A03B42"/>
    <w:rsid w:val="00A0413B"/>
    <w:rsid w:val="00A1240E"/>
    <w:rsid w:val="00A1753D"/>
    <w:rsid w:val="00A22051"/>
    <w:rsid w:val="00A25978"/>
    <w:rsid w:val="00A26131"/>
    <w:rsid w:val="00A33C75"/>
    <w:rsid w:val="00A50EA8"/>
    <w:rsid w:val="00A6411D"/>
    <w:rsid w:val="00A71759"/>
    <w:rsid w:val="00A8276A"/>
    <w:rsid w:val="00A962CD"/>
    <w:rsid w:val="00AB4710"/>
    <w:rsid w:val="00AE4B06"/>
    <w:rsid w:val="00AF2A6C"/>
    <w:rsid w:val="00AF79E3"/>
    <w:rsid w:val="00B07698"/>
    <w:rsid w:val="00B100A2"/>
    <w:rsid w:val="00B204ED"/>
    <w:rsid w:val="00B23D6C"/>
    <w:rsid w:val="00B245ED"/>
    <w:rsid w:val="00B32C88"/>
    <w:rsid w:val="00B53A08"/>
    <w:rsid w:val="00B5591E"/>
    <w:rsid w:val="00B64C7F"/>
    <w:rsid w:val="00B75C8F"/>
    <w:rsid w:val="00B82C07"/>
    <w:rsid w:val="00B85460"/>
    <w:rsid w:val="00B8730A"/>
    <w:rsid w:val="00B9204D"/>
    <w:rsid w:val="00BA509A"/>
    <w:rsid w:val="00BB79C3"/>
    <w:rsid w:val="00BD411B"/>
    <w:rsid w:val="00BD50D2"/>
    <w:rsid w:val="00BE2961"/>
    <w:rsid w:val="00BE4940"/>
    <w:rsid w:val="00BE7F06"/>
    <w:rsid w:val="00BF46F6"/>
    <w:rsid w:val="00C1352C"/>
    <w:rsid w:val="00C1514A"/>
    <w:rsid w:val="00C15B46"/>
    <w:rsid w:val="00C206B4"/>
    <w:rsid w:val="00C37C9D"/>
    <w:rsid w:val="00C46FBD"/>
    <w:rsid w:val="00C51FD0"/>
    <w:rsid w:val="00C55EB1"/>
    <w:rsid w:val="00C626EA"/>
    <w:rsid w:val="00CB1EE2"/>
    <w:rsid w:val="00CB3180"/>
    <w:rsid w:val="00CB67E8"/>
    <w:rsid w:val="00CE0595"/>
    <w:rsid w:val="00CF7571"/>
    <w:rsid w:val="00D248C4"/>
    <w:rsid w:val="00D56BE5"/>
    <w:rsid w:val="00D63785"/>
    <w:rsid w:val="00D72D8F"/>
    <w:rsid w:val="00D832FD"/>
    <w:rsid w:val="00D85A05"/>
    <w:rsid w:val="00D94CDC"/>
    <w:rsid w:val="00DB266E"/>
    <w:rsid w:val="00DB4D14"/>
    <w:rsid w:val="00DD3D25"/>
    <w:rsid w:val="00DD45C0"/>
    <w:rsid w:val="00DD61EB"/>
    <w:rsid w:val="00DE0A79"/>
    <w:rsid w:val="00DE1FEF"/>
    <w:rsid w:val="00DE4B81"/>
    <w:rsid w:val="00DF675B"/>
    <w:rsid w:val="00E16D66"/>
    <w:rsid w:val="00E16F2F"/>
    <w:rsid w:val="00E3445A"/>
    <w:rsid w:val="00E37368"/>
    <w:rsid w:val="00E602A2"/>
    <w:rsid w:val="00E80ABB"/>
    <w:rsid w:val="00E8239C"/>
    <w:rsid w:val="00E93D61"/>
    <w:rsid w:val="00EA23C7"/>
    <w:rsid w:val="00EA654D"/>
    <w:rsid w:val="00EC78D0"/>
    <w:rsid w:val="00EC799F"/>
    <w:rsid w:val="00ED503D"/>
    <w:rsid w:val="00EE7C67"/>
    <w:rsid w:val="00EF2161"/>
    <w:rsid w:val="00F07D05"/>
    <w:rsid w:val="00F71D6A"/>
    <w:rsid w:val="00F77DD4"/>
    <w:rsid w:val="00F86208"/>
    <w:rsid w:val="00F902C7"/>
    <w:rsid w:val="00FA5847"/>
    <w:rsid w:val="00FB3CB9"/>
    <w:rsid w:val="00FD7FDC"/>
    <w:rsid w:val="00FE55B6"/>
    <w:rsid w:val="00FE6EAD"/>
    <w:rsid w:val="00FE74B7"/>
    <w:rsid w:val="00FF19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47CD0"/>
  <w15:docId w15:val="{4AFB4539-25F9-4463-A366-A9DCAD66D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0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50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03D"/>
  </w:style>
  <w:style w:type="paragraph" w:styleId="Footer">
    <w:name w:val="footer"/>
    <w:basedOn w:val="Normal"/>
    <w:link w:val="FooterChar"/>
    <w:uiPriority w:val="99"/>
    <w:unhideWhenUsed/>
    <w:rsid w:val="00ED50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03D"/>
  </w:style>
  <w:style w:type="paragraph" w:customStyle="1" w:styleId="QAANormal">
    <w:name w:val="QAA Normal"/>
    <w:basedOn w:val="Normal"/>
    <w:link w:val="QAANormalChar"/>
    <w:qFormat/>
    <w:rsid w:val="00C1352C"/>
    <w:pPr>
      <w:pBdr>
        <w:top w:val="nil"/>
        <w:left w:val="nil"/>
        <w:bottom w:val="nil"/>
        <w:right w:val="nil"/>
        <w:between w:val="nil"/>
        <w:bar w:val="nil"/>
      </w:pBdr>
      <w:spacing w:after="0" w:line="240" w:lineRule="auto"/>
    </w:pPr>
    <w:rPr>
      <w:rFonts w:ascii="Arial" w:eastAsia="Arial Unicode MS" w:hAnsi="Arial" w:cs="Times New Roman"/>
      <w:bdr w:val="nil"/>
      <w:lang w:val="sq-AL" w:eastAsia="sq-AL"/>
    </w:rPr>
  </w:style>
  <w:style w:type="character" w:customStyle="1" w:styleId="QAANormalChar">
    <w:name w:val="QAA Normal Char"/>
    <w:basedOn w:val="DefaultParagraphFont"/>
    <w:link w:val="QAANormal"/>
    <w:rsid w:val="00C1352C"/>
    <w:rPr>
      <w:rFonts w:ascii="Arial" w:eastAsia="Arial Unicode MS" w:hAnsi="Arial" w:cs="Times New Roman"/>
      <w:bdr w:val="nil"/>
      <w:lang w:val="sq-AL" w:eastAsia="sq-AL"/>
    </w:rPr>
  </w:style>
  <w:style w:type="paragraph" w:styleId="Title">
    <w:name w:val="Title"/>
    <w:basedOn w:val="Normal"/>
    <w:next w:val="Normal"/>
    <w:link w:val="TitleChar"/>
    <w:uiPriority w:val="10"/>
    <w:qFormat/>
    <w:rsid w:val="00C1352C"/>
    <w:pPr>
      <w:pBdr>
        <w:top w:val="nil"/>
        <w:left w:val="nil"/>
        <w:bottom w:val="nil"/>
        <w:right w:val="nil"/>
        <w:between w:val="nil"/>
        <w:bar w:val="nil"/>
      </w:pBdr>
      <w:spacing w:after="0" w:line="240" w:lineRule="auto"/>
      <w:jc w:val="center"/>
    </w:pPr>
    <w:rPr>
      <w:rFonts w:ascii="Arial" w:eastAsia="Arial Unicode MS" w:hAnsi="Arial" w:cs="Times New Roman"/>
      <w:b/>
      <w:sz w:val="48"/>
      <w:szCs w:val="24"/>
      <w:bdr w:val="nil"/>
      <w:lang w:val="sq-AL" w:eastAsia="sq-AL"/>
    </w:rPr>
  </w:style>
  <w:style w:type="character" w:customStyle="1" w:styleId="TitleChar">
    <w:name w:val="Title Char"/>
    <w:basedOn w:val="DefaultParagraphFont"/>
    <w:link w:val="Title"/>
    <w:uiPriority w:val="10"/>
    <w:rsid w:val="00C1352C"/>
    <w:rPr>
      <w:rFonts w:ascii="Arial" w:eastAsia="Arial Unicode MS" w:hAnsi="Arial" w:cs="Times New Roman"/>
      <w:b/>
      <w:sz w:val="48"/>
      <w:szCs w:val="24"/>
      <w:bdr w:val="nil"/>
      <w:lang w:val="sq-AL" w:eastAsia="sq-AL"/>
    </w:rPr>
  </w:style>
  <w:style w:type="paragraph" w:styleId="Subtitle">
    <w:name w:val="Subtitle"/>
    <w:basedOn w:val="Normal"/>
    <w:next w:val="Normal"/>
    <w:link w:val="SubtitleChar"/>
    <w:uiPriority w:val="11"/>
    <w:qFormat/>
    <w:rsid w:val="00C1352C"/>
    <w:pPr>
      <w:spacing w:before="220" w:after="0" w:line="240" w:lineRule="auto"/>
      <w:jc w:val="center"/>
    </w:pPr>
    <w:rPr>
      <w:rFonts w:ascii="Arial" w:eastAsia="Arial Unicode MS" w:hAnsi="Arial" w:cs="Times New Roman"/>
      <w:b/>
      <w:color w:val="595959"/>
      <w:sz w:val="48"/>
      <w:szCs w:val="24"/>
      <w:bdr w:val="nil"/>
      <w:lang w:val="sq-AL" w:eastAsia="sq-AL"/>
    </w:rPr>
  </w:style>
  <w:style w:type="character" w:customStyle="1" w:styleId="SubtitleChar">
    <w:name w:val="Subtitle Char"/>
    <w:basedOn w:val="DefaultParagraphFont"/>
    <w:link w:val="Subtitle"/>
    <w:uiPriority w:val="11"/>
    <w:rsid w:val="00C1352C"/>
    <w:rPr>
      <w:rFonts w:ascii="Arial" w:eastAsia="Arial Unicode MS" w:hAnsi="Arial" w:cs="Times New Roman"/>
      <w:b/>
      <w:color w:val="595959"/>
      <w:sz w:val="48"/>
      <w:szCs w:val="24"/>
      <w:bdr w:val="nil"/>
      <w:lang w:val="sq-AL" w:eastAsia="sq-AL"/>
    </w:rPr>
  </w:style>
  <w:style w:type="paragraph" w:customStyle="1" w:styleId="QAADate">
    <w:name w:val="QAA Date"/>
    <w:basedOn w:val="Normal"/>
    <w:link w:val="QAADateChar"/>
    <w:qFormat/>
    <w:rsid w:val="00C1352C"/>
    <w:pPr>
      <w:spacing w:after="220" w:line="240" w:lineRule="auto"/>
      <w:jc w:val="center"/>
    </w:pPr>
    <w:rPr>
      <w:rFonts w:ascii="Arial" w:eastAsia="Arial Unicode MS" w:hAnsi="Arial" w:cs="Times New Roman"/>
      <w:b/>
      <w:color w:val="595959"/>
      <w:sz w:val="36"/>
      <w:szCs w:val="24"/>
      <w:bdr w:val="nil"/>
      <w:lang w:val="sq-AL" w:eastAsia="sq-AL"/>
    </w:rPr>
  </w:style>
  <w:style w:type="character" w:customStyle="1" w:styleId="QAADateChar">
    <w:name w:val="QAA Date Char"/>
    <w:basedOn w:val="DefaultParagraphFont"/>
    <w:link w:val="QAADate"/>
    <w:rsid w:val="00C1352C"/>
    <w:rPr>
      <w:rFonts w:ascii="Arial" w:eastAsia="Arial Unicode MS" w:hAnsi="Arial" w:cs="Times New Roman"/>
      <w:b/>
      <w:color w:val="595959"/>
      <w:sz w:val="36"/>
      <w:szCs w:val="24"/>
      <w:bdr w:val="nil"/>
      <w:lang w:val="sq-AL" w:eastAsia="sq-AL"/>
    </w:rPr>
  </w:style>
  <w:style w:type="paragraph" w:styleId="ListParagraph">
    <w:name w:val="List Paragraph"/>
    <w:basedOn w:val="Normal"/>
    <w:link w:val="ListParagraphChar"/>
    <w:uiPriority w:val="34"/>
    <w:qFormat/>
    <w:rsid w:val="00C1352C"/>
    <w:pPr>
      <w:ind w:left="720"/>
      <w:contextualSpacing/>
    </w:pPr>
  </w:style>
  <w:style w:type="table" w:styleId="TableGrid">
    <w:name w:val="Table Grid"/>
    <w:basedOn w:val="TableNormal"/>
    <w:uiPriority w:val="39"/>
    <w:rsid w:val="00C13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uiPriority w:val="99"/>
    <w:rsid w:val="00C1352C"/>
    <w:pPr>
      <w:spacing w:after="120" w:line="240" w:lineRule="auto"/>
    </w:pPr>
    <w:rPr>
      <w:rFonts w:ascii="Big Caslon" w:eastAsia="?????? Pro W3" w:hAnsi="Big Caslon" w:cs="Times New Roman"/>
      <w:color w:val="000000"/>
      <w:sz w:val="24"/>
      <w:szCs w:val="20"/>
    </w:rPr>
  </w:style>
  <w:style w:type="character" w:styleId="Hyperlink">
    <w:name w:val="Hyperlink"/>
    <w:basedOn w:val="DefaultParagraphFont"/>
    <w:uiPriority w:val="99"/>
    <w:unhideWhenUsed/>
    <w:rsid w:val="00C1352C"/>
    <w:rPr>
      <w:color w:val="0563C1" w:themeColor="hyperlink"/>
      <w:u w:val="single"/>
    </w:rPr>
  </w:style>
  <w:style w:type="character" w:customStyle="1" w:styleId="longtext">
    <w:name w:val="long_text"/>
    <w:basedOn w:val="DefaultParagraphFont"/>
    <w:rsid w:val="00C1352C"/>
  </w:style>
  <w:style w:type="paragraph" w:styleId="BalloonText">
    <w:name w:val="Balloon Text"/>
    <w:basedOn w:val="Normal"/>
    <w:link w:val="BalloonTextChar"/>
    <w:uiPriority w:val="99"/>
    <w:semiHidden/>
    <w:unhideWhenUsed/>
    <w:rsid w:val="00243B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BA4"/>
    <w:rPr>
      <w:rFonts w:ascii="Tahoma" w:hAnsi="Tahoma" w:cs="Tahoma"/>
      <w:sz w:val="16"/>
      <w:szCs w:val="16"/>
    </w:rPr>
  </w:style>
  <w:style w:type="paragraph" w:styleId="NoSpacing">
    <w:name w:val="No Spacing"/>
    <w:link w:val="NoSpacingChar"/>
    <w:uiPriority w:val="1"/>
    <w:qFormat/>
    <w:rsid w:val="00FE6EAD"/>
    <w:pPr>
      <w:spacing w:after="0" w:line="240" w:lineRule="auto"/>
    </w:pPr>
    <w:rPr>
      <w:rFonts w:ascii="Calibri" w:eastAsia="Calibri" w:hAnsi="Calibri" w:cs="Times New Roman"/>
    </w:rPr>
  </w:style>
  <w:style w:type="character" w:customStyle="1" w:styleId="NoSpacingChar">
    <w:name w:val="No Spacing Char"/>
    <w:link w:val="NoSpacing"/>
    <w:uiPriority w:val="1"/>
    <w:rsid w:val="00FE6EAD"/>
    <w:rPr>
      <w:rFonts w:ascii="Calibri" w:eastAsia="Calibri" w:hAnsi="Calibri" w:cs="Times New Roman"/>
    </w:rPr>
  </w:style>
  <w:style w:type="character" w:customStyle="1" w:styleId="ListParagraphChar">
    <w:name w:val="List Paragraph Char"/>
    <w:link w:val="ListParagraph"/>
    <w:uiPriority w:val="34"/>
    <w:locked/>
    <w:rsid w:val="00AE4B06"/>
  </w:style>
  <w:style w:type="paragraph" w:styleId="FootnoteText">
    <w:name w:val="footnote text"/>
    <w:basedOn w:val="Normal"/>
    <w:link w:val="FootnoteTextChar"/>
    <w:uiPriority w:val="99"/>
    <w:semiHidden/>
    <w:unhideWhenUsed/>
    <w:rsid w:val="003C3A45"/>
    <w:pPr>
      <w:spacing w:after="0" w:line="240" w:lineRule="auto"/>
    </w:pPr>
    <w:rPr>
      <w:rFonts w:ascii="Times New Roman" w:eastAsia="Times New Roman" w:hAnsi="Times New Roman" w:cs="Times New Roman"/>
      <w:sz w:val="20"/>
      <w:szCs w:val="20"/>
      <w:lang w:val="sq-AL"/>
    </w:rPr>
  </w:style>
  <w:style w:type="character" w:customStyle="1" w:styleId="FootnoteTextChar">
    <w:name w:val="Footnote Text Char"/>
    <w:basedOn w:val="DefaultParagraphFont"/>
    <w:link w:val="FootnoteText"/>
    <w:uiPriority w:val="99"/>
    <w:semiHidden/>
    <w:rsid w:val="003C3A45"/>
    <w:rPr>
      <w:rFonts w:ascii="Times New Roman" w:eastAsia="Times New Roman" w:hAnsi="Times New Roman" w:cs="Times New Roman"/>
      <w:sz w:val="20"/>
      <w:szCs w:val="20"/>
      <w:lang w:val="sq-AL"/>
    </w:rPr>
  </w:style>
  <w:style w:type="character" w:styleId="FootnoteReference">
    <w:name w:val="footnote reference"/>
    <w:uiPriority w:val="99"/>
    <w:semiHidden/>
    <w:unhideWhenUsed/>
    <w:rsid w:val="003C3A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816412">
      <w:bodyDiv w:val="1"/>
      <w:marLeft w:val="0"/>
      <w:marRight w:val="0"/>
      <w:marTop w:val="0"/>
      <w:marBottom w:val="0"/>
      <w:divBdr>
        <w:top w:val="none" w:sz="0" w:space="0" w:color="auto"/>
        <w:left w:val="none" w:sz="0" w:space="0" w:color="auto"/>
        <w:bottom w:val="none" w:sz="0" w:space="0" w:color="auto"/>
        <w:right w:val="none" w:sz="0" w:space="0" w:color="auto"/>
      </w:divBdr>
    </w:div>
    <w:div w:id="183509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ascal.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47</Pages>
  <Words>9599</Words>
  <Characters>54719</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Dhurata Bozo</dc:creator>
  <cp:lastModifiedBy>Muhamed Prezja</cp:lastModifiedBy>
  <cp:revision>45</cp:revision>
  <dcterms:created xsi:type="dcterms:W3CDTF">2021-05-04T08:11:00Z</dcterms:created>
  <dcterms:modified xsi:type="dcterms:W3CDTF">2022-03-23T13:25:00Z</dcterms:modified>
</cp:coreProperties>
</file>